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346F" w14:textId="3CFB00F6" w:rsidR="00F65B24" w:rsidRDefault="00000000">
      <w:pPr>
        <w:spacing w:after="120" w:line="360" w:lineRule="auto"/>
        <w:jc w:val="center"/>
        <w:rPr>
          <w:b/>
          <w:bCs/>
          <w:sz w:val="28"/>
          <w:szCs w:val="28"/>
          <w:lang w:val="en-GB"/>
        </w:rPr>
      </w:pPr>
      <w:r w:rsidRPr="00642AB8">
        <w:rPr>
          <w:b/>
          <w:bCs/>
          <w:sz w:val="28"/>
          <w:szCs w:val="28"/>
          <w:lang w:val="en-GB"/>
        </w:rPr>
        <w:t xml:space="preserve">Supplementary </w:t>
      </w:r>
      <w:r w:rsidR="00642AB8">
        <w:rPr>
          <w:b/>
          <w:bCs/>
          <w:sz w:val="28"/>
          <w:szCs w:val="28"/>
          <w:lang w:val="en-GB"/>
        </w:rPr>
        <w:t>Information</w:t>
      </w:r>
    </w:p>
    <w:p w14:paraId="5825146D" w14:textId="77777777" w:rsidR="00642AB8" w:rsidRDefault="00642AB8" w:rsidP="00642AB8">
      <w:pPr>
        <w:rPr>
          <w:rFonts w:ascii="Calibri" w:hAnsi="Calibri" w:cs="Calibri"/>
          <w:b/>
          <w:bCs/>
          <w:sz w:val="22"/>
          <w:szCs w:val="22"/>
          <w:lang w:val="en-US" w:eastAsia="en-US"/>
        </w:rPr>
      </w:pPr>
    </w:p>
    <w:p w14:paraId="66D3D0EC" w14:textId="109C52E7" w:rsidR="00642AB8" w:rsidRPr="00642AB8" w:rsidRDefault="00642AB8" w:rsidP="00642AB8">
      <w:pPr>
        <w:rPr>
          <w:b/>
          <w:bCs/>
          <w:lang w:val="en-US" w:eastAsia="en-US"/>
        </w:rPr>
      </w:pPr>
      <w:r w:rsidRPr="00642AB8">
        <w:rPr>
          <w:b/>
          <w:bCs/>
          <w:lang w:val="en-US" w:eastAsia="en-US"/>
        </w:rPr>
        <w:t>Trauma attenuates the association between schizophrenia polygenic risk and psychosis spectrum classification in a developmental cohort</w:t>
      </w:r>
    </w:p>
    <w:p w14:paraId="29D389B8" w14:textId="77777777" w:rsidR="00642AB8" w:rsidRPr="00642AB8" w:rsidRDefault="00642AB8" w:rsidP="00642AB8">
      <w:pPr>
        <w:rPr>
          <w:b/>
          <w:bCs/>
          <w:lang w:val="en-US" w:eastAsia="en-US"/>
        </w:rPr>
      </w:pPr>
    </w:p>
    <w:p w14:paraId="2E542F36" w14:textId="2C1F1196" w:rsidR="00642AB8" w:rsidRPr="00642AB8" w:rsidRDefault="00642AB8" w:rsidP="00642AB8">
      <w:pPr>
        <w:rPr>
          <w:lang w:val="en-US" w:eastAsia="en-US"/>
        </w:rPr>
      </w:pPr>
      <w:r w:rsidRPr="00642AB8">
        <w:t>Tyler M. Moore, Laura M. Schultz, Monica E. Calkins, Kosha Ruparel, Ruben C. Gur, Laura Almasy, Raquel E. Gur</w:t>
      </w:r>
    </w:p>
    <w:p w14:paraId="7866CAE7" w14:textId="77777777" w:rsidR="00642AB8" w:rsidRDefault="00642AB8" w:rsidP="00642AB8">
      <w:pPr>
        <w:spacing w:line="480" w:lineRule="auto"/>
        <w:rPr>
          <w:lang w:val="en-GB"/>
        </w:rPr>
      </w:pPr>
    </w:p>
    <w:p w14:paraId="2D9603FF" w14:textId="47B1668F" w:rsidR="00642AB8" w:rsidRDefault="00642AB8" w:rsidP="00642AB8">
      <w:pPr>
        <w:spacing w:line="480" w:lineRule="auto"/>
        <w:rPr>
          <w:lang w:val="en-GB"/>
        </w:rPr>
      </w:pPr>
      <w:r>
        <w:rPr>
          <w:lang w:val="en-GB"/>
        </w:rPr>
        <w:t>Letter to the Editor, World Psychiatry</w:t>
      </w:r>
    </w:p>
    <w:p w14:paraId="2B80BB6D" w14:textId="77777777" w:rsidR="00642AB8" w:rsidRPr="00642AB8" w:rsidRDefault="00642AB8" w:rsidP="00642AB8">
      <w:pPr>
        <w:spacing w:line="480" w:lineRule="auto"/>
        <w:rPr>
          <w:b/>
          <w:bCs/>
          <w:lang w:val="en-GB"/>
        </w:rPr>
      </w:pPr>
    </w:p>
    <w:p w14:paraId="54A2E42C" w14:textId="5454541F" w:rsidR="00642AB8" w:rsidRDefault="00000000" w:rsidP="00642AB8">
      <w:pPr>
        <w:spacing w:after="120" w:line="480" w:lineRule="auto"/>
        <w:ind w:firstLine="426"/>
        <w:jc w:val="both"/>
        <w:rPr>
          <w:lang w:val="en-GB"/>
        </w:rPr>
      </w:pPr>
      <w:r w:rsidRPr="00642AB8">
        <w:rPr>
          <w:lang w:val="en-GB"/>
        </w:rPr>
        <w:t>This supplement contains the visualization of the primary</w:t>
      </w:r>
      <w:r w:rsidR="00D51AB1">
        <w:rPr>
          <w:lang w:val="en-GB"/>
        </w:rPr>
        <w:t xml:space="preserve"> polygenic risk score for schizophrenia</w:t>
      </w:r>
      <w:r w:rsidRPr="00642AB8">
        <w:rPr>
          <w:lang w:val="en-GB"/>
        </w:rPr>
        <w:t xml:space="preserve"> </w:t>
      </w:r>
      <w:r w:rsidR="00D51AB1">
        <w:rPr>
          <w:lang w:val="en-GB"/>
        </w:rPr>
        <w:t>(</w:t>
      </w:r>
      <w:r w:rsidRPr="00642AB8">
        <w:rPr>
          <w:lang w:val="en-GB"/>
        </w:rPr>
        <w:t>PRS-SCZ</w:t>
      </w:r>
      <w:r w:rsidR="00D51AB1">
        <w:rPr>
          <w:lang w:val="en-GB"/>
        </w:rPr>
        <w:t>)</w:t>
      </w:r>
      <w:r w:rsidRPr="00642AB8">
        <w:rPr>
          <w:lang w:val="en-GB"/>
        </w:rPr>
        <w:t xml:space="preserve"> </w:t>
      </w:r>
      <w:r w:rsidR="00642AB8">
        <w:rPr>
          <w:lang w:val="en-GB"/>
        </w:rPr>
        <w:t>x</w:t>
      </w:r>
      <w:r w:rsidRPr="00642AB8">
        <w:rPr>
          <w:lang w:val="en-GB"/>
        </w:rPr>
        <w:t xml:space="preserve"> </w:t>
      </w:r>
      <w:r w:rsidR="00642AB8">
        <w:rPr>
          <w:lang w:val="en-GB"/>
        </w:rPr>
        <w:t>t</w:t>
      </w:r>
      <w:r w:rsidRPr="00642AB8">
        <w:rPr>
          <w:lang w:val="en-GB"/>
        </w:rPr>
        <w:t xml:space="preserve">rauma interaction in the European-ancestry (EUR) sample (Figure S1), and parallel analyses conducted in the African-ancestry (AFR) subsample of the Philadelphia Neurodevelopmental Cohort (PNC), including descriptive statistics (Table S1), logistic regression results (Table S2), and the corresponding interaction visualization (Figure S2). </w:t>
      </w:r>
    </w:p>
    <w:p w14:paraId="2AA681A5" w14:textId="78BAC265" w:rsidR="00F65B24" w:rsidRPr="00642AB8" w:rsidRDefault="00000000" w:rsidP="00642AB8">
      <w:pPr>
        <w:spacing w:after="120" w:line="480" w:lineRule="auto"/>
        <w:ind w:firstLine="426"/>
        <w:jc w:val="both"/>
        <w:rPr>
          <w:lang w:val="en-GB"/>
        </w:rPr>
      </w:pPr>
      <w:r w:rsidRPr="00642AB8">
        <w:rPr>
          <w:lang w:val="en-GB"/>
        </w:rPr>
        <w:t>All analytic procedures were identical to those described in the Letter. PRS-SCZ for the AFR subsample were computed using AFR-specific GWAS summary statistics from Trubetskoy et al (2022) and residualized on 10 within-ancestry principal components. As in the main analyses, participants ages 8</w:t>
      </w:r>
      <w:r w:rsidR="00642AB8">
        <w:rPr>
          <w:lang w:val="en-GB"/>
        </w:rPr>
        <w:t>-</w:t>
      </w:r>
      <w:r w:rsidRPr="00642AB8">
        <w:rPr>
          <w:lang w:val="en-GB"/>
        </w:rPr>
        <w:t>10 were excluded because clinical symptom data for these participants were collected via caregiver report only.</w:t>
      </w:r>
    </w:p>
    <w:p w14:paraId="50C856C8" w14:textId="77777777" w:rsidR="00F65B24" w:rsidRPr="00642AB8" w:rsidRDefault="00000000">
      <w:pPr>
        <w:spacing w:before="120" w:after="120"/>
        <w:jc w:val="center"/>
        <w:rPr>
          <w:lang w:val="en-GB"/>
        </w:rPr>
      </w:pPr>
      <w:r w:rsidRPr="00642AB8">
        <w:rPr>
          <w:noProof/>
          <w:lang w:val="en-GB"/>
        </w:rPr>
        <w:lastRenderedPageBreak/>
        <w:drawing>
          <wp:inline distT="0" distB="0" distL="0" distR="0" wp14:anchorId="7D15615C" wp14:editId="384513AA">
            <wp:extent cx="5486400" cy="4114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486400" cy="4114800"/>
                    </a:xfrm>
                    <a:prstGeom prst="rect">
                      <a:avLst/>
                    </a:prstGeom>
                  </pic:spPr>
                </pic:pic>
              </a:graphicData>
            </a:graphic>
          </wp:inline>
        </w:drawing>
      </w:r>
    </w:p>
    <w:p w14:paraId="30B60735" w14:textId="656BF228" w:rsidR="00F65B24" w:rsidRPr="00642AB8" w:rsidRDefault="00000000" w:rsidP="00642AB8">
      <w:pPr>
        <w:spacing w:after="240"/>
        <w:jc w:val="both"/>
        <w:rPr>
          <w:lang w:val="en-GB"/>
        </w:rPr>
      </w:pPr>
      <w:r w:rsidRPr="00642AB8">
        <w:rPr>
          <w:b/>
          <w:bCs/>
          <w:sz w:val="22"/>
          <w:szCs w:val="22"/>
          <w:lang w:val="en-GB"/>
        </w:rPr>
        <w:t>Figure S1.</w:t>
      </w:r>
      <w:r w:rsidRPr="00642AB8">
        <w:rPr>
          <w:sz w:val="22"/>
          <w:szCs w:val="22"/>
          <w:lang w:val="en-GB"/>
        </w:rPr>
        <w:t xml:space="preserve"> Relationship between </w:t>
      </w:r>
      <w:r w:rsidR="00642AB8" w:rsidRPr="00642AB8">
        <w:rPr>
          <w:sz w:val="22"/>
          <w:szCs w:val="22"/>
          <w:lang w:val="en-GB"/>
        </w:rPr>
        <w:t>schizophrenia polygenic risk score and log-odds of psychosis spectrum classification, by trauma exposure group, in t</w:t>
      </w:r>
      <w:r w:rsidRPr="00642AB8">
        <w:rPr>
          <w:sz w:val="22"/>
          <w:szCs w:val="22"/>
          <w:lang w:val="en-GB"/>
        </w:rPr>
        <w:t>he European-</w:t>
      </w:r>
      <w:r w:rsidR="00642AB8" w:rsidRPr="00642AB8">
        <w:rPr>
          <w:sz w:val="22"/>
          <w:szCs w:val="22"/>
          <w:lang w:val="en-GB"/>
        </w:rPr>
        <w:t>ancestry sam</w:t>
      </w:r>
      <w:r w:rsidRPr="00642AB8">
        <w:rPr>
          <w:sz w:val="22"/>
          <w:szCs w:val="22"/>
          <w:lang w:val="en-GB"/>
        </w:rPr>
        <w:t>ple (ages 11</w:t>
      </w:r>
      <w:r w:rsidR="00642AB8">
        <w:rPr>
          <w:sz w:val="22"/>
          <w:szCs w:val="22"/>
          <w:lang w:val="en-GB"/>
        </w:rPr>
        <w:t>-</w:t>
      </w:r>
      <w:r w:rsidRPr="00642AB8">
        <w:rPr>
          <w:sz w:val="22"/>
          <w:szCs w:val="22"/>
          <w:lang w:val="en-GB"/>
        </w:rPr>
        <w:t xml:space="preserve">21; </w:t>
      </w:r>
      <w:r w:rsidR="00642AB8">
        <w:rPr>
          <w:sz w:val="22"/>
          <w:szCs w:val="22"/>
          <w:lang w:val="en-GB"/>
        </w:rPr>
        <w:t>n</w:t>
      </w:r>
      <w:r w:rsidRPr="00642AB8">
        <w:rPr>
          <w:sz w:val="22"/>
          <w:szCs w:val="22"/>
          <w:lang w:val="en-GB"/>
        </w:rPr>
        <w:t>=3,905). Shaded regions represent 95% confidence intervals. Among low-trauma youth (0</w:t>
      </w:r>
      <w:r w:rsidR="00642AB8">
        <w:rPr>
          <w:sz w:val="22"/>
          <w:szCs w:val="22"/>
          <w:lang w:val="en-GB"/>
        </w:rPr>
        <w:t>-</w:t>
      </w:r>
      <w:r w:rsidRPr="00642AB8">
        <w:rPr>
          <w:sz w:val="22"/>
          <w:szCs w:val="22"/>
          <w:lang w:val="en-GB"/>
        </w:rPr>
        <w:t>1 types), higher PRS-SCZ is associated with increased log-odds of psychosis spectrum classification (positive slope); among high-trauma youth (2</w:t>
      </w:r>
      <w:r w:rsidR="00642AB8">
        <w:rPr>
          <w:sz w:val="22"/>
          <w:szCs w:val="22"/>
          <w:lang w:val="en-GB"/>
        </w:rPr>
        <w:t>-</w:t>
      </w:r>
      <w:r w:rsidRPr="00642AB8">
        <w:rPr>
          <w:sz w:val="22"/>
          <w:szCs w:val="22"/>
          <w:lang w:val="en-GB"/>
        </w:rPr>
        <w:t xml:space="preserve">8 types), this association is attenuated to near-zero, with overall log-odds of </w:t>
      </w:r>
      <w:r w:rsidR="00642AB8">
        <w:rPr>
          <w:sz w:val="22"/>
          <w:szCs w:val="22"/>
          <w:lang w:val="en-GB"/>
        </w:rPr>
        <w:t>psychosis spectrum classification</w:t>
      </w:r>
      <w:r w:rsidRPr="00642AB8">
        <w:rPr>
          <w:sz w:val="22"/>
          <w:szCs w:val="22"/>
          <w:lang w:val="en-GB"/>
        </w:rPr>
        <w:t xml:space="preserve"> elevated regardless of polygenic loading, consistent with the significant PRS-SCZ </w:t>
      </w:r>
      <w:r w:rsidR="00642AB8">
        <w:rPr>
          <w:sz w:val="22"/>
          <w:szCs w:val="22"/>
          <w:lang w:val="en-GB"/>
        </w:rPr>
        <w:t>x</w:t>
      </w:r>
      <w:r w:rsidRPr="00642AB8">
        <w:rPr>
          <w:sz w:val="22"/>
          <w:szCs w:val="22"/>
          <w:lang w:val="en-GB"/>
        </w:rPr>
        <w:t xml:space="preserve"> </w:t>
      </w:r>
      <w:r w:rsidR="00642AB8">
        <w:rPr>
          <w:sz w:val="22"/>
          <w:szCs w:val="22"/>
          <w:lang w:val="en-GB"/>
        </w:rPr>
        <w:t>t</w:t>
      </w:r>
      <w:r w:rsidRPr="00642AB8">
        <w:rPr>
          <w:sz w:val="22"/>
          <w:szCs w:val="22"/>
          <w:lang w:val="en-GB"/>
        </w:rPr>
        <w:t>rauma interaction (p=</w:t>
      </w:r>
      <w:r w:rsidR="00642AB8">
        <w:rPr>
          <w:sz w:val="22"/>
          <w:szCs w:val="22"/>
          <w:lang w:val="en-GB"/>
        </w:rPr>
        <w:t>0</w:t>
      </w:r>
      <w:r w:rsidRPr="00642AB8">
        <w:rPr>
          <w:sz w:val="22"/>
          <w:szCs w:val="22"/>
          <w:lang w:val="en-GB"/>
        </w:rPr>
        <w:t>.037).</w:t>
      </w:r>
    </w:p>
    <w:p w14:paraId="228A98DA" w14:textId="77777777" w:rsidR="00642AB8" w:rsidRDefault="00642AB8">
      <w:pPr>
        <w:spacing w:after="120" w:line="480" w:lineRule="auto"/>
        <w:rPr>
          <w:lang w:val="en-GB"/>
        </w:rPr>
      </w:pPr>
    </w:p>
    <w:p w14:paraId="523F39D8" w14:textId="50B55A81" w:rsidR="00F65B24" w:rsidRPr="00642AB8" w:rsidRDefault="00000000" w:rsidP="00642AB8">
      <w:pPr>
        <w:spacing w:after="120" w:line="480" w:lineRule="auto"/>
        <w:ind w:firstLine="426"/>
        <w:jc w:val="both"/>
        <w:rPr>
          <w:lang w:val="en-GB"/>
        </w:rPr>
      </w:pPr>
      <w:r w:rsidRPr="00642AB8">
        <w:rPr>
          <w:lang w:val="en-GB"/>
        </w:rPr>
        <w:t>The AFR subsample included 2,396 participants</w:t>
      </w:r>
      <w:r w:rsidR="00642AB8">
        <w:rPr>
          <w:lang w:val="en-GB"/>
        </w:rPr>
        <w:t xml:space="preserve"> –</w:t>
      </w:r>
      <w:r w:rsidRPr="00642AB8">
        <w:rPr>
          <w:lang w:val="en-GB"/>
        </w:rPr>
        <w:t xml:space="preserve"> 845</w:t>
      </w:r>
      <w:r w:rsidR="00642AB8">
        <w:rPr>
          <w:lang w:val="en-GB"/>
        </w:rPr>
        <w:t xml:space="preserve"> psychosis spectrum (PS)</w:t>
      </w:r>
      <w:r w:rsidRPr="00642AB8">
        <w:rPr>
          <w:lang w:val="en-GB"/>
        </w:rPr>
        <w:t>, 1,549 non-PS; 35.3% PS. Compared to the EUR sample (19.9% PS), the AFR subsample had a notably higher base rate of PS classification. As shown in Table S1, PS participants were significantly younger than non-PS participants (t=−6.01, p&lt;</w:t>
      </w:r>
      <w:r w:rsidR="00642AB8">
        <w:rPr>
          <w:lang w:val="en-GB"/>
        </w:rPr>
        <w:t>0</w:t>
      </w:r>
      <w:r w:rsidRPr="00642AB8">
        <w:rPr>
          <w:lang w:val="en-GB"/>
        </w:rPr>
        <w:t>.001) and reported significantly more types of traumatic experiences (mean = 1.68 vs. 1.11; t=8.87, p&lt;</w:t>
      </w:r>
      <w:r w:rsidR="00642AB8">
        <w:rPr>
          <w:lang w:val="en-GB"/>
        </w:rPr>
        <w:t>0</w:t>
      </w:r>
      <w:r w:rsidRPr="00642AB8">
        <w:rPr>
          <w:lang w:val="en-GB"/>
        </w:rPr>
        <w:t xml:space="preserve">.001). Neighborhood </w:t>
      </w:r>
      <w:r w:rsidR="00642AB8">
        <w:rPr>
          <w:lang w:val="en-GB"/>
        </w:rPr>
        <w:t>socioeconomic status (</w:t>
      </w:r>
      <w:r w:rsidRPr="00642AB8">
        <w:rPr>
          <w:lang w:val="en-GB"/>
        </w:rPr>
        <w:t>SES</w:t>
      </w:r>
      <w:r w:rsidR="00642AB8">
        <w:rPr>
          <w:lang w:val="en-GB"/>
        </w:rPr>
        <w:t>)</w:t>
      </w:r>
      <w:r w:rsidRPr="00642AB8">
        <w:rPr>
          <w:lang w:val="en-GB"/>
        </w:rPr>
        <w:t xml:space="preserve"> did not significantly differ between groups (t=−1.75, p=</w:t>
      </w:r>
      <w:r w:rsidR="00642AB8">
        <w:rPr>
          <w:lang w:val="en-GB"/>
        </w:rPr>
        <w:t>0</w:t>
      </w:r>
      <w:r w:rsidRPr="00642AB8">
        <w:rPr>
          <w:lang w:val="en-GB"/>
        </w:rPr>
        <w:t xml:space="preserve">.081). PRS-SCZ did not differ between </w:t>
      </w:r>
      <w:r w:rsidRPr="00642AB8">
        <w:rPr>
          <w:lang w:val="en-GB"/>
        </w:rPr>
        <w:lastRenderedPageBreak/>
        <w:t>PS and non-PS groups (</w:t>
      </w:r>
      <w:r w:rsidRPr="00D51AB1">
        <w:rPr>
          <w:lang w:val="en-GB"/>
        </w:rPr>
        <w:t>t</w:t>
      </w:r>
      <w:r w:rsidRPr="00642AB8">
        <w:rPr>
          <w:lang w:val="en-GB"/>
        </w:rPr>
        <w:t xml:space="preserve">=−0.74, </w:t>
      </w:r>
      <w:r w:rsidRPr="00D51AB1">
        <w:rPr>
          <w:lang w:val="en-GB"/>
        </w:rPr>
        <w:t>p</w:t>
      </w:r>
      <w:r w:rsidRPr="00642AB8">
        <w:rPr>
          <w:lang w:val="en-GB"/>
        </w:rPr>
        <w:t>=</w:t>
      </w:r>
      <w:r w:rsidR="00D51AB1">
        <w:rPr>
          <w:lang w:val="en-GB"/>
        </w:rPr>
        <w:t>0</w:t>
      </w:r>
      <w:r w:rsidRPr="00642AB8">
        <w:rPr>
          <w:lang w:val="en-GB"/>
        </w:rPr>
        <w:t xml:space="preserve">.458), and sex was not significantly associated with PS classification (χ²=2.81, </w:t>
      </w:r>
      <w:r w:rsidRPr="00D51AB1">
        <w:rPr>
          <w:lang w:val="en-GB"/>
        </w:rPr>
        <w:t>p</w:t>
      </w:r>
      <w:r w:rsidRPr="00642AB8">
        <w:rPr>
          <w:lang w:val="en-GB"/>
        </w:rPr>
        <w:t>=</w:t>
      </w:r>
      <w:r w:rsidR="00D51AB1">
        <w:rPr>
          <w:lang w:val="en-GB"/>
        </w:rPr>
        <w:t>0</w:t>
      </w:r>
      <w:r w:rsidRPr="00642AB8">
        <w:rPr>
          <w:lang w:val="en-GB"/>
        </w:rPr>
        <w:t>.094).</w:t>
      </w:r>
    </w:p>
    <w:p w14:paraId="22A7E067" w14:textId="77777777" w:rsidR="00D51AB1" w:rsidRDefault="00D51AB1">
      <w:pPr>
        <w:spacing w:before="240" w:after="60" w:line="360" w:lineRule="auto"/>
        <w:rPr>
          <w:b/>
          <w:bCs/>
          <w:lang w:val="en-GB"/>
        </w:rPr>
      </w:pPr>
    </w:p>
    <w:p w14:paraId="5E9AF925" w14:textId="585DD457" w:rsidR="00F65B24" w:rsidRPr="00642AB8" w:rsidRDefault="00000000">
      <w:pPr>
        <w:spacing w:before="240" w:after="60" w:line="360" w:lineRule="auto"/>
        <w:rPr>
          <w:lang w:val="en-GB"/>
        </w:rPr>
      </w:pPr>
      <w:r w:rsidRPr="00642AB8">
        <w:rPr>
          <w:b/>
          <w:bCs/>
          <w:lang w:val="en-GB"/>
        </w:rPr>
        <w:t>Table S1</w:t>
      </w:r>
    </w:p>
    <w:p w14:paraId="6BBB8DA8" w14:textId="0949E25C" w:rsidR="00D51AB1" w:rsidRPr="00D51AB1" w:rsidRDefault="00000000">
      <w:pPr>
        <w:spacing w:after="120" w:line="360" w:lineRule="auto"/>
        <w:rPr>
          <w:lang w:val="en-GB"/>
        </w:rPr>
      </w:pPr>
      <w:r w:rsidRPr="00D51AB1">
        <w:rPr>
          <w:lang w:val="en-GB"/>
        </w:rPr>
        <w:t xml:space="preserve">Demographic and </w:t>
      </w:r>
      <w:r w:rsidR="00D51AB1" w:rsidRPr="00D51AB1">
        <w:rPr>
          <w:lang w:val="en-GB"/>
        </w:rPr>
        <w:t xml:space="preserve">clinical characteristics of the </w:t>
      </w:r>
      <w:r w:rsidR="00D51AB1">
        <w:rPr>
          <w:lang w:val="en-GB"/>
        </w:rPr>
        <w:t>A</w:t>
      </w:r>
      <w:r w:rsidR="00D51AB1" w:rsidRPr="00D51AB1">
        <w:rPr>
          <w:lang w:val="en-GB"/>
        </w:rPr>
        <w:t>frican-ancestry subsample by psychosis spectrum classifica</w:t>
      </w:r>
      <w:r w:rsidRPr="00D51AB1">
        <w:rPr>
          <w:lang w:val="en-GB"/>
        </w:rPr>
        <w:t>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300"/>
        <w:gridCol w:w="1300"/>
        <w:gridCol w:w="1300"/>
        <w:gridCol w:w="1530"/>
        <w:gridCol w:w="1530"/>
      </w:tblGrid>
      <w:tr w:rsidR="00F65B24" w:rsidRPr="00642AB8" w14:paraId="0C5A3A60" w14:textId="77777777">
        <w:tblPrEx>
          <w:tblCellMar>
            <w:top w:w="0" w:type="dxa"/>
            <w:bottom w:w="0" w:type="dxa"/>
          </w:tblCellMar>
        </w:tblPrEx>
        <w:trPr>
          <w:tblHeader/>
        </w:trPr>
        <w:tc>
          <w:tcPr>
            <w:tcW w:w="240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27128DA1" w14:textId="77777777" w:rsidR="00F65B24" w:rsidRPr="00642AB8" w:rsidRDefault="00000000">
            <w:pPr>
              <w:rPr>
                <w:lang w:val="en-GB"/>
              </w:rPr>
            </w:pPr>
            <w:r w:rsidRPr="00642AB8">
              <w:rPr>
                <w:b/>
                <w:bCs/>
                <w:sz w:val="22"/>
                <w:szCs w:val="22"/>
                <w:lang w:val="en-GB"/>
              </w:rPr>
              <w:t>Variable</w:t>
            </w:r>
          </w:p>
        </w:tc>
        <w:tc>
          <w:tcPr>
            <w:tcW w:w="130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0DD01642" w14:textId="77777777" w:rsidR="00F65B24" w:rsidRPr="00642AB8" w:rsidRDefault="00000000">
            <w:pPr>
              <w:jc w:val="center"/>
              <w:rPr>
                <w:lang w:val="en-GB"/>
              </w:rPr>
            </w:pPr>
            <w:r w:rsidRPr="00642AB8">
              <w:rPr>
                <w:b/>
                <w:bCs/>
                <w:sz w:val="22"/>
                <w:szCs w:val="22"/>
                <w:lang w:val="en-GB"/>
              </w:rPr>
              <w:t>Full sample</w:t>
            </w:r>
          </w:p>
        </w:tc>
        <w:tc>
          <w:tcPr>
            <w:tcW w:w="130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02F2A15F" w14:textId="77777777" w:rsidR="00F65B24" w:rsidRPr="00642AB8" w:rsidRDefault="00000000">
            <w:pPr>
              <w:jc w:val="center"/>
              <w:rPr>
                <w:lang w:val="en-GB"/>
              </w:rPr>
            </w:pPr>
            <w:r w:rsidRPr="00642AB8">
              <w:rPr>
                <w:b/>
                <w:bCs/>
                <w:sz w:val="22"/>
                <w:szCs w:val="22"/>
                <w:lang w:val="en-GB"/>
              </w:rPr>
              <w:t>PS</w:t>
            </w:r>
          </w:p>
        </w:tc>
        <w:tc>
          <w:tcPr>
            <w:tcW w:w="130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31256040" w14:textId="77777777" w:rsidR="00F65B24" w:rsidRPr="00642AB8" w:rsidRDefault="00000000">
            <w:pPr>
              <w:jc w:val="center"/>
              <w:rPr>
                <w:lang w:val="en-GB"/>
              </w:rPr>
            </w:pPr>
            <w:r w:rsidRPr="00642AB8">
              <w:rPr>
                <w:b/>
                <w:bCs/>
                <w:sz w:val="22"/>
                <w:szCs w:val="22"/>
                <w:lang w:val="en-GB"/>
              </w:rPr>
              <w:t>Non-PS</w:t>
            </w:r>
          </w:p>
        </w:tc>
        <w:tc>
          <w:tcPr>
            <w:tcW w:w="153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01EA4D93" w14:textId="77777777" w:rsidR="00F65B24" w:rsidRPr="00642AB8" w:rsidRDefault="00000000">
            <w:pPr>
              <w:jc w:val="center"/>
              <w:rPr>
                <w:lang w:val="en-GB"/>
              </w:rPr>
            </w:pPr>
            <w:r w:rsidRPr="00642AB8">
              <w:rPr>
                <w:b/>
                <w:bCs/>
                <w:sz w:val="22"/>
                <w:szCs w:val="22"/>
                <w:lang w:val="en-GB"/>
              </w:rPr>
              <w:t>Statistic</w:t>
            </w:r>
          </w:p>
        </w:tc>
        <w:tc>
          <w:tcPr>
            <w:tcW w:w="153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14AEAE1D" w14:textId="77777777" w:rsidR="00F65B24" w:rsidRPr="00642AB8" w:rsidRDefault="00000000">
            <w:pPr>
              <w:jc w:val="center"/>
              <w:rPr>
                <w:lang w:val="en-GB"/>
              </w:rPr>
            </w:pPr>
            <w:r w:rsidRPr="00642AB8">
              <w:rPr>
                <w:b/>
                <w:bCs/>
                <w:i/>
                <w:iCs/>
                <w:sz w:val="22"/>
                <w:szCs w:val="22"/>
                <w:lang w:val="en-GB"/>
              </w:rPr>
              <w:t>p</w:t>
            </w:r>
          </w:p>
        </w:tc>
      </w:tr>
      <w:tr w:rsidR="00F65B24" w:rsidRPr="00642AB8" w14:paraId="731BBCA6" w14:textId="77777777">
        <w:tblPrEx>
          <w:tblCellMar>
            <w:top w:w="0" w:type="dxa"/>
            <w:bottom w:w="0" w:type="dxa"/>
          </w:tblCellMar>
        </w:tblPrEx>
        <w:tc>
          <w:tcPr>
            <w:tcW w:w="2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7C7E22F4" w14:textId="77777777" w:rsidR="00F65B24" w:rsidRPr="00D51AB1" w:rsidRDefault="00000000">
            <w:pPr>
              <w:rPr>
                <w:lang w:val="en-GB"/>
              </w:rPr>
            </w:pPr>
            <w:r w:rsidRPr="00D51AB1">
              <w:rPr>
                <w:sz w:val="22"/>
                <w:szCs w:val="22"/>
                <w:lang w:val="en-GB"/>
              </w:rPr>
              <w:t>N</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E0FDFAF" w14:textId="77777777" w:rsidR="00F65B24" w:rsidRPr="00642AB8" w:rsidRDefault="00000000">
            <w:pPr>
              <w:jc w:val="center"/>
              <w:rPr>
                <w:lang w:val="en-GB"/>
              </w:rPr>
            </w:pPr>
            <w:r w:rsidRPr="00642AB8">
              <w:rPr>
                <w:sz w:val="22"/>
                <w:szCs w:val="22"/>
                <w:lang w:val="en-GB"/>
              </w:rPr>
              <w:t>2,396</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204E590" w14:textId="77777777" w:rsidR="00F65B24" w:rsidRPr="00642AB8" w:rsidRDefault="00000000">
            <w:pPr>
              <w:jc w:val="center"/>
              <w:rPr>
                <w:lang w:val="en-GB"/>
              </w:rPr>
            </w:pPr>
            <w:r w:rsidRPr="00642AB8">
              <w:rPr>
                <w:sz w:val="22"/>
                <w:szCs w:val="22"/>
                <w:lang w:val="en-GB"/>
              </w:rPr>
              <w:t>845</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60E78680" w14:textId="77777777" w:rsidR="00F65B24" w:rsidRPr="00642AB8" w:rsidRDefault="00000000">
            <w:pPr>
              <w:jc w:val="center"/>
              <w:rPr>
                <w:lang w:val="en-GB"/>
              </w:rPr>
            </w:pPr>
            <w:r w:rsidRPr="00642AB8">
              <w:rPr>
                <w:sz w:val="22"/>
                <w:szCs w:val="22"/>
                <w:lang w:val="en-GB"/>
              </w:rPr>
              <w:t>1,549</w:t>
            </w: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D1FB764" w14:textId="77777777" w:rsidR="00F65B24" w:rsidRPr="00642AB8" w:rsidRDefault="00F65B24">
            <w:pPr>
              <w:jc w:val="center"/>
              <w:rPr>
                <w:lang w:val="en-GB"/>
              </w:rPr>
            </w:pP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4CB3778" w14:textId="77777777" w:rsidR="00F65B24" w:rsidRPr="00642AB8" w:rsidRDefault="00F65B24">
            <w:pPr>
              <w:jc w:val="center"/>
              <w:rPr>
                <w:lang w:val="en-GB"/>
              </w:rPr>
            </w:pPr>
          </w:p>
        </w:tc>
      </w:tr>
      <w:tr w:rsidR="00F65B24" w:rsidRPr="00642AB8" w14:paraId="07ACB9A1" w14:textId="77777777">
        <w:tblPrEx>
          <w:tblCellMar>
            <w:top w:w="0" w:type="dxa"/>
            <w:bottom w:w="0" w:type="dxa"/>
          </w:tblCellMar>
        </w:tblPrEx>
        <w:tc>
          <w:tcPr>
            <w:tcW w:w="2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A212624" w14:textId="77777777" w:rsidR="00F65B24" w:rsidRPr="00642AB8" w:rsidRDefault="00000000">
            <w:pPr>
              <w:rPr>
                <w:lang w:val="en-GB"/>
              </w:rPr>
            </w:pPr>
            <w:r w:rsidRPr="00642AB8">
              <w:rPr>
                <w:sz w:val="22"/>
                <w:szCs w:val="22"/>
                <w:lang w:val="en-GB"/>
              </w:rPr>
              <w:t>Age (years)</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4C0F40B" w14:textId="77777777" w:rsidR="00F65B24" w:rsidRPr="00642AB8" w:rsidRDefault="00000000">
            <w:pPr>
              <w:jc w:val="center"/>
              <w:rPr>
                <w:lang w:val="en-GB"/>
              </w:rPr>
            </w:pPr>
            <w:r w:rsidRPr="00642AB8">
              <w:rPr>
                <w:sz w:val="22"/>
                <w:szCs w:val="22"/>
                <w:lang w:val="en-GB"/>
              </w:rPr>
              <w:t>15.89 (2.76)</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695F0FFA" w14:textId="77777777" w:rsidR="00F65B24" w:rsidRPr="00642AB8" w:rsidRDefault="00000000">
            <w:pPr>
              <w:jc w:val="center"/>
              <w:rPr>
                <w:lang w:val="en-GB"/>
              </w:rPr>
            </w:pPr>
            <w:r w:rsidRPr="00642AB8">
              <w:rPr>
                <w:sz w:val="22"/>
                <w:szCs w:val="22"/>
                <w:lang w:val="en-GB"/>
              </w:rPr>
              <w:t>15.43 (2.75)</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7EF4DCAF" w14:textId="77777777" w:rsidR="00F65B24" w:rsidRPr="00642AB8" w:rsidRDefault="00000000">
            <w:pPr>
              <w:jc w:val="center"/>
              <w:rPr>
                <w:lang w:val="en-GB"/>
              </w:rPr>
            </w:pPr>
            <w:r w:rsidRPr="00642AB8">
              <w:rPr>
                <w:sz w:val="22"/>
                <w:szCs w:val="22"/>
                <w:lang w:val="en-GB"/>
              </w:rPr>
              <w:t>16.14 (2.74)</w:t>
            </w: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2C310E0" w14:textId="561E7238" w:rsidR="00F65B24" w:rsidRPr="00D51AB1" w:rsidRDefault="00000000">
            <w:pPr>
              <w:jc w:val="center"/>
              <w:rPr>
                <w:lang w:val="en-GB"/>
              </w:rPr>
            </w:pPr>
            <w:r w:rsidRPr="00D51AB1">
              <w:rPr>
                <w:sz w:val="22"/>
                <w:szCs w:val="22"/>
                <w:lang w:val="en-GB"/>
              </w:rPr>
              <w:t>t=−6.01</w:t>
            </w: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606B190C" w14:textId="629CE119" w:rsidR="00F65B24" w:rsidRPr="00642AB8" w:rsidRDefault="00000000">
            <w:pPr>
              <w:jc w:val="center"/>
              <w:rPr>
                <w:lang w:val="en-GB"/>
              </w:rPr>
            </w:pPr>
            <w:r w:rsidRPr="00642AB8">
              <w:rPr>
                <w:sz w:val="22"/>
                <w:szCs w:val="22"/>
                <w:lang w:val="en-GB"/>
              </w:rPr>
              <w:t>&lt;</w:t>
            </w:r>
            <w:r w:rsidR="00D51AB1">
              <w:rPr>
                <w:sz w:val="22"/>
                <w:szCs w:val="22"/>
                <w:lang w:val="en-GB"/>
              </w:rPr>
              <w:t>0</w:t>
            </w:r>
            <w:r w:rsidRPr="00642AB8">
              <w:rPr>
                <w:sz w:val="22"/>
                <w:szCs w:val="22"/>
                <w:lang w:val="en-GB"/>
              </w:rPr>
              <w:t>.001</w:t>
            </w:r>
          </w:p>
        </w:tc>
      </w:tr>
      <w:tr w:rsidR="00F65B24" w:rsidRPr="00642AB8" w14:paraId="4D2C5F7A" w14:textId="77777777">
        <w:tblPrEx>
          <w:tblCellMar>
            <w:top w:w="0" w:type="dxa"/>
            <w:bottom w:w="0" w:type="dxa"/>
          </w:tblCellMar>
        </w:tblPrEx>
        <w:tc>
          <w:tcPr>
            <w:tcW w:w="2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85A07EB" w14:textId="77777777" w:rsidR="00F65B24" w:rsidRPr="00642AB8" w:rsidRDefault="00000000">
            <w:pPr>
              <w:rPr>
                <w:lang w:val="en-GB"/>
              </w:rPr>
            </w:pPr>
            <w:r w:rsidRPr="00642AB8">
              <w:rPr>
                <w:sz w:val="22"/>
                <w:szCs w:val="22"/>
                <w:lang w:val="en-GB"/>
              </w:rPr>
              <w:t>envSES</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0EE7F38" w14:textId="77777777" w:rsidR="00F65B24" w:rsidRPr="00642AB8" w:rsidRDefault="00000000">
            <w:pPr>
              <w:jc w:val="center"/>
              <w:rPr>
                <w:lang w:val="en-GB"/>
              </w:rPr>
            </w:pPr>
            <w:r w:rsidRPr="00642AB8">
              <w:rPr>
                <w:sz w:val="22"/>
                <w:szCs w:val="22"/>
                <w:lang w:val="en-GB"/>
              </w:rPr>
              <w:t>−1.02 (0.78)</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58932756" w14:textId="77777777" w:rsidR="00F65B24" w:rsidRPr="00642AB8" w:rsidRDefault="00000000">
            <w:pPr>
              <w:jc w:val="center"/>
              <w:rPr>
                <w:lang w:val="en-GB"/>
              </w:rPr>
            </w:pPr>
            <w:r w:rsidRPr="00642AB8">
              <w:rPr>
                <w:sz w:val="22"/>
                <w:szCs w:val="22"/>
                <w:lang w:val="en-GB"/>
              </w:rPr>
              <w:t>−1.06 (0.74)</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058FD97" w14:textId="77777777" w:rsidR="00F65B24" w:rsidRPr="00642AB8" w:rsidRDefault="00000000">
            <w:pPr>
              <w:jc w:val="center"/>
              <w:rPr>
                <w:lang w:val="en-GB"/>
              </w:rPr>
            </w:pPr>
            <w:r w:rsidRPr="00642AB8">
              <w:rPr>
                <w:sz w:val="22"/>
                <w:szCs w:val="22"/>
                <w:lang w:val="en-GB"/>
              </w:rPr>
              <w:t>−1.00 (0.79)</w:t>
            </w: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10545A7" w14:textId="3FC31CBA" w:rsidR="00F65B24" w:rsidRPr="00D51AB1" w:rsidRDefault="00000000">
            <w:pPr>
              <w:jc w:val="center"/>
              <w:rPr>
                <w:lang w:val="en-GB"/>
              </w:rPr>
            </w:pPr>
            <w:r w:rsidRPr="00D51AB1">
              <w:rPr>
                <w:sz w:val="22"/>
                <w:szCs w:val="22"/>
                <w:lang w:val="en-GB"/>
              </w:rPr>
              <w:t>t=−1.75</w:t>
            </w: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24DC933" w14:textId="3774717F" w:rsidR="00F65B24" w:rsidRPr="00642AB8" w:rsidRDefault="00D51AB1">
            <w:pPr>
              <w:jc w:val="center"/>
              <w:rPr>
                <w:lang w:val="en-GB"/>
              </w:rPr>
            </w:pPr>
            <w:r>
              <w:rPr>
                <w:sz w:val="22"/>
                <w:szCs w:val="22"/>
                <w:lang w:val="en-GB"/>
              </w:rPr>
              <w:t>0</w:t>
            </w:r>
            <w:r w:rsidR="00000000" w:rsidRPr="00642AB8">
              <w:rPr>
                <w:sz w:val="22"/>
                <w:szCs w:val="22"/>
                <w:lang w:val="en-GB"/>
              </w:rPr>
              <w:t>.081</w:t>
            </w:r>
          </w:p>
        </w:tc>
      </w:tr>
      <w:tr w:rsidR="00F65B24" w:rsidRPr="00642AB8" w14:paraId="35CC67F4" w14:textId="77777777">
        <w:tblPrEx>
          <w:tblCellMar>
            <w:top w:w="0" w:type="dxa"/>
            <w:bottom w:w="0" w:type="dxa"/>
          </w:tblCellMar>
        </w:tblPrEx>
        <w:tc>
          <w:tcPr>
            <w:tcW w:w="2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A579CC5" w14:textId="77777777" w:rsidR="00F65B24" w:rsidRPr="00642AB8" w:rsidRDefault="00000000">
            <w:pPr>
              <w:rPr>
                <w:lang w:val="en-GB"/>
              </w:rPr>
            </w:pPr>
            <w:r w:rsidRPr="00642AB8">
              <w:rPr>
                <w:sz w:val="22"/>
                <w:szCs w:val="22"/>
                <w:lang w:val="en-GB"/>
              </w:rPr>
              <w:t>PRS-SCZ</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4E25F60D" w14:textId="77777777" w:rsidR="00F65B24" w:rsidRPr="00642AB8" w:rsidRDefault="00000000">
            <w:pPr>
              <w:jc w:val="center"/>
              <w:rPr>
                <w:lang w:val="en-GB"/>
              </w:rPr>
            </w:pPr>
            <w:r w:rsidRPr="00642AB8">
              <w:rPr>
                <w:sz w:val="22"/>
                <w:szCs w:val="22"/>
                <w:lang w:val="en-GB"/>
              </w:rPr>
              <w:t>−0.01 (0.87)</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15D2B50" w14:textId="77777777" w:rsidR="00F65B24" w:rsidRPr="00642AB8" w:rsidRDefault="00000000">
            <w:pPr>
              <w:jc w:val="center"/>
              <w:rPr>
                <w:lang w:val="en-GB"/>
              </w:rPr>
            </w:pPr>
            <w:r w:rsidRPr="00642AB8">
              <w:rPr>
                <w:sz w:val="22"/>
                <w:szCs w:val="22"/>
                <w:lang w:val="en-GB"/>
              </w:rPr>
              <w:t>−0.03 (0.86)</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E5366B2" w14:textId="77777777" w:rsidR="00F65B24" w:rsidRPr="00642AB8" w:rsidRDefault="00000000">
            <w:pPr>
              <w:jc w:val="center"/>
              <w:rPr>
                <w:lang w:val="en-GB"/>
              </w:rPr>
            </w:pPr>
            <w:r w:rsidRPr="00642AB8">
              <w:rPr>
                <w:sz w:val="22"/>
                <w:szCs w:val="22"/>
                <w:lang w:val="en-GB"/>
              </w:rPr>
              <w:t>−0.00 (0.87)</w:t>
            </w: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0976AD8" w14:textId="061DA918" w:rsidR="00F65B24" w:rsidRPr="00D51AB1" w:rsidRDefault="00000000">
            <w:pPr>
              <w:jc w:val="center"/>
              <w:rPr>
                <w:lang w:val="en-GB"/>
              </w:rPr>
            </w:pPr>
            <w:r w:rsidRPr="00D51AB1">
              <w:rPr>
                <w:sz w:val="22"/>
                <w:szCs w:val="22"/>
                <w:lang w:val="en-GB"/>
              </w:rPr>
              <w:t>t=−0.74</w:t>
            </w: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BEAB271" w14:textId="0932E0D1" w:rsidR="00F65B24" w:rsidRPr="00642AB8" w:rsidRDefault="00D51AB1">
            <w:pPr>
              <w:jc w:val="center"/>
              <w:rPr>
                <w:lang w:val="en-GB"/>
              </w:rPr>
            </w:pPr>
            <w:r>
              <w:rPr>
                <w:sz w:val="22"/>
                <w:szCs w:val="22"/>
                <w:lang w:val="en-GB"/>
              </w:rPr>
              <w:t>0</w:t>
            </w:r>
            <w:r w:rsidR="00000000" w:rsidRPr="00642AB8">
              <w:rPr>
                <w:sz w:val="22"/>
                <w:szCs w:val="22"/>
                <w:lang w:val="en-GB"/>
              </w:rPr>
              <w:t>.458</w:t>
            </w:r>
          </w:p>
        </w:tc>
      </w:tr>
      <w:tr w:rsidR="00F65B24" w:rsidRPr="00642AB8" w14:paraId="08DA2EB5" w14:textId="77777777">
        <w:tblPrEx>
          <w:tblCellMar>
            <w:top w:w="0" w:type="dxa"/>
            <w:bottom w:w="0" w:type="dxa"/>
          </w:tblCellMar>
        </w:tblPrEx>
        <w:tc>
          <w:tcPr>
            <w:tcW w:w="2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7DBCB961" w14:textId="77777777" w:rsidR="00F65B24" w:rsidRPr="00642AB8" w:rsidRDefault="00000000">
            <w:pPr>
              <w:rPr>
                <w:lang w:val="en-GB"/>
              </w:rPr>
            </w:pPr>
            <w:r w:rsidRPr="00642AB8">
              <w:rPr>
                <w:sz w:val="22"/>
                <w:szCs w:val="22"/>
                <w:lang w:val="en-GB"/>
              </w:rPr>
              <w:t>Trauma types</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4C20B1DA" w14:textId="77777777" w:rsidR="00F65B24" w:rsidRPr="00642AB8" w:rsidRDefault="00000000">
            <w:pPr>
              <w:jc w:val="center"/>
              <w:rPr>
                <w:lang w:val="en-GB"/>
              </w:rPr>
            </w:pPr>
            <w:r w:rsidRPr="00642AB8">
              <w:rPr>
                <w:sz w:val="22"/>
                <w:szCs w:val="22"/>
                <w:lang w:val="en-GB"/>
              </w:rPr>
              <w:t>1.31 (1.45)</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D53DC87" w14:textId="77777777" w:rsidR="00F65B24" w:rsidRPr="00642AB8" w:rsidRDefault="00000000">
            <w:pPr>
              <w:jc w:val="center"/>
              <w:rPr>
                <w:lang w:val="en-GB"/>
              </w:rPr>
            </w:pPr>
            <w:r w:rsidRPr="00642AB8">
              <w:rPr>
                <w:sz w:val="22"/>
                <w:szCs w:val="22"/>
                <w:lang w:val="en-GB"/>
              </w:rPr>
              <w:t>1.68 (1.58)</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53FE2D6" w14:textId="77777777" w:rsidR="00F65B24" w:rsidRPr="00642AB8" w:rsidRDefault="00000000">
            <w:pPr>
              <w:jc w:val="center"/>
              <w:rPr>
                <w:lang w:val="en-GB"/>
              </w:rPr>
            </w:pPr>
            <w:r w:rsidRPr="00642AB8">
              <w:rPr>
                <w:sz w:val="22"/>
                <w:szCs w:val="22"/>
                <w:lang w:val="en-GB"/>
              </w:rPr>
              <w:t>1.11 (1.33)</w:t>
            </w: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6EEE03A1" w14:textId="250060B8" w:rsidR="00F65B24" w:rsidRPr="00D51AB1" w:rsidRDefault="00000000">
            <w:pPr>
              <w:jc w:val="center"/>
              <w:rPr>
                <w:lang w:val="en-GB"/>
              </w:rPr>
            </w:pPr>
            <w:r w:rsidRPr="00D51AB1">
              <w:rPr>
                <w:sz w:val="22"/>
                <w:szCs w:val="22"/>
                <w:lang w:val="en-GB"/>
              </w:rPr>
              <w:t>t=8.87</w:t>
            </w: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C0E3A2A" w14:textId="6DCA93D3" w:rsidR="00F65B24" w:rsidRPr="00642AB8" w:rsidRDefault="00000000">
            <w:pPr>
              <w:jc w:val="center"/>
              <w:rPr>
                <w:lang w:val="en-GB"/>
              </w:rPr>
            </w:pPr>
            <w:r w:rsidRPr="00642AB8">
              <w:rPr>
                <w:sz w:val="22"/>
                <w:szCs w:val="22"/>
                <w:lang w:val="en-GB"/>
              </w:rPr>
              <w:t>&lt;</w:t>
            </w:r>
            <w:r w:rsidR="00D51AB1">
              <w:rPr>
                <w:sz w:val="22"/>
                <w:szCs w:val="22"/>
                <w:lang w:val="en-GB"/>
              </w:rPr>
              <w:t>0</w:t>
            </w:r>
            <w:r w:rsidRPr="00642AB8">
              <w:rPr>
                <w:sz w:val="22"/>
                <w:szCs w:val="22"/>
                <w:lang w:val="en-GB"/>
              </w:rPr>
              <w:t>.001</w:t>
            </w:r>
          </w:p>
        </w:tc>
      </w:tr>
      <w:tr w:rsidR="00F65B24" w:rsidRPr="00642AB8" w14:paraId="217BC225" w14:textId="77777777">
        <w:tblPrEx>
          <w:tblCellMar>
            <w:top w:w="0" w:type="dxa"/>
            <w:bottom w:w="0" w:type="dxa"/>
          </w:tblCellMar>
        </w:tblPrEx>
        <w:tc>
          <w:tcPr>
            <w:tcW w:w="24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53E9A3D" w14:textId="77777777" w:rsidR="00F65B24" w:rsidRPr="00642AB8" w:rsidRDefault="00000000">
            <w:pPr>
              <w:rPr>
                <w:lang w:val="en-GB"/>
              </w:rPr>
            </w:pPr>
            <w:r w:rsidRPr="00642AB8">
              <w:rPr>
                <w:sz w:val="22"/>
                <w:szCs w:val="22"/>
                <w:lang w:val="en-GB"/>
              </w:rPr>
              <w:t>Sex (% male)</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DAFF0C0" w14:textId="77777777" w:rsidR="00F65B24" w:rsidRPr="00642AB8" w:rsidRDefault="00000000">
            <w:pPr>
              <w:jc w:val="center"/>
              <w:rPr>
                <w:lang w:val="en-GB"/>
              </w:rPr>
            </w:pPr>
            <w:r w:rsidRPr="00642AB8">
              <w:rPr>
                <w:sz w:val="22"/>
                <w:szCs w:val="22"/>
                <w:lang w:val="en-GB"/>
              </w:rPr>
              <w:t>43.4%</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1B3C061" w14:textId="77777777" w:rsidR="00F65B24" w:rsidRPr="00642AB8" w:rsidRDefault="00000000">
            <w:pPr>
              <w:jc w:val="center"/>
              <w:rPr>
                <w:lang w:val="en-GB"/>
              </w:rPr>
            </w:pPr>
            <w:r w:rsidRPr="00642AB8">
              <w:rPr>
                <w:sz w:val="22"/>
                <w:szCs w:val="22"/>
                <w:lang w:val="en-GB"/>
              </w:rPr>
              <w:t>45.8%</w:t>
            </w:r>
          </w:p>
        </w:tc>
        <w:tc>
          <w:tcPr>
            <w:tcW w:w="13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7E81FC9" w14:textId="77777777" w:rsidR="00F65B24" w:rsidRPr="00642AB8" w:rsidRDefault="00000000">
            <w:pPr>
              <w:jc w:val="center"/>
              <w:rPr>
                <w:lang w:val="en-GB"/>
              </w:rPr>
            </w:pPr>
            <w:r w:rsidRPr="00642AB8">
              <w:rPr>
                <w:sz w:val="22"/>
                <w:szCs w:val="22"/>
                <w:lang w:val="en-GB"/>
              </w:rPr>
              <w:t>42.2%</w:t>
            </w: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6F180DA0" w14:textId="68805B7E" w:rsidR="00F65B24" w:rsidRPr="00D51AB1" w:rsidRDefault="00000000">
            <w:pPr>
              <w:jc w:val="center"/>
              <w:rPr>
                <w:lang w:val="en-GB"/>
              </w:rPr>
            </w:pPr>
            <w:r w:rsidRPr="00D51AB1">
              <w:rPr>
                <w:sz w:val="22"/>
                <w:szCs w:val="22"/>
                <w:lang w:val="en-GB"/>
              </w:rPr>
              <w:t>χ²=2.81</w:t>
            </w:r>
          </w:p>
        </w:tc>
        <w:tc>
          <w:tcPr>
            <w:tcW w:w="153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8CFA864" w14:textId="0F96002A" w:rsidR="00F65B24" w:rsidRPr="00642AB8" w:rsidRDefault="00D51AB1">
            <w:pPr>
              <w:jc w:val="center"/>
              <w:rPr>
                <w:lang w:val="en-GB"/>
              </w:rPr>
            </w:pPr>
            <w:r>
              <w:rPr>
                <w:sz w:val="22"/>
                <w:szCs w:val="22"/>
                <w:lang w:val="en-GB"/>
              </w:rPr>
              <w:t>0</w:t>
            </w:r>
            <w:r w:rsidR="00000000" w:rsidRPr="00642AB8">
              <w:rPr>
                <w:sz w:val="22"/>
                <w:szCs w:val="22"/>
                <w:lang w:val="en-GB"/>
              </w:rPr>
              <w:t>.094</w:t>
            </w:r>
          </w:p>
        </w:tc>
      </w:tr>
    </w:tbl>
    <w:p w14:paraId="3D724501" w14:textId="77777777" w:rsidR="00D51AB1" w:rsidRDefault="00D51AB1" w:rsidP="00D51AB1">
      <w:pPr>
        <w:rPr>
          <w:sz w:val="22"/>
          <w:szCs w:val="22"/>
          <w:lang w:val="en-GB"/>
        </w:rPr>
      </w:pPr>
    </w:p>
    <w:p w14:paraId="23D3D9AA" w14:textId="669CB66A" w:rsidR="00F65B24" w:rsidRPr="00642AB8" w:rsidRDefault="00000000" w:rsidP="00D51AB1">
      <w:pPr>
        <w:spacing w:after="240"/>
        <w:jc w:val="both"/>
        <w:rPr>
          <w:lang w:val="en-GB"/>
        </w:rPr>
      </w:pPr>
      <w:r w:rsidRPr="00642AB8">
        <w:rPr>
          <w:sz w:val="22"/>
          <w:szCs w:val="22"/>
          <w:lang w:val="en-GB"/>
        </w:rPr>
        <w:t>Values are</w:t>
      </w:r>
      <w:r w:rsidR="00D51AB1">
        <w:rPr>
          <w:sz w:val="22"/>
          <w:szCs w:val="22"/>
          <w:lang w:val="en-GB"/>
        </w:rPr>
        <w:t xml:space="preserve"> means</w:t>
      </w:r>
      <w:r w:rsidRPr="00642AB8">
        <w:rPr>
          <w:sz w:val="22"/>
          <w:szCs w:val="22"/>
          <w:lang w:val="en-GB"/>
        </w:rPr>
        <w:t xml:space="preserve"> (</w:t>
      </w:r>
      <w:r w:rsidRPr="00642AB8">
        <w:rPr>
          <w:i/>
          <w:iCs/>
          <w:sz w:val="22"/>
          <w:szCs w:val="22"/>
          <w:lang w:val="en-GB"/>
        </w:rPr>
        <w:t>SD</w:t>
      </w:r>
      <w:r w:rsidRPr="00642AB8">
        <w:rPr>
          <w:sz w:val="22"/>
          <w:szCs w:val="22"/>
          <w:lang w:val="en-GB"/>
        </w:rPr>
        <w:t>) unless otherwise noted. PS = psychosis spectrum; envSES = neighborhood socioeconomic status factor score; PRS-SCZ = polygenic risk score for schizophrenia (residualized on ancestry principal components). Sample restricted to ages 11–21.</w:t>
      </w:r>
    </w:p>
    <w:p w14:paraId="7C295C1B" w14:textId="77777777" w:rsidR="00D51AB1" w:rsidRDefault="00D51AB1">
      <w:pPr>
        <w:spacing w:after="120" w:line="480" w:lineRule="auto"/>
        <w:rPr>
          <w:lang w:val="en-GB"/>
        </w:rPr>
      </w:pPr>
    </w:p>
    <w:p w14:paraId="11520888" w14:textId="2A95D1F8" w:rsidR="00F65B24" w:rsidRDefault="00000000" w:rsidP="00D51AB1">
      <w:pPr>
        <w:spacing w:after="120" w:line="480" w:lineRule="auto"/>
        <w:ind w:firstLine="426"/>
        <w:jc w:val="both"/>
        <w:rPr>
          <w:lang w:val="en-GB"/>
        </w:rPr>
      </w:pPr>
      <w:r w:rsidRPr="00642AB8">
        <w:rPr>
          <w:lang w:val="en-GB"/>
        </w:rPr>
        <w:t>As shown in Table S2, cumulative traumatic experiences were the strongest predictor of PS classification in the AFR subsample (</w:t>
      </w:r>
      <w:r w:rsidR="00D51AB1">
        <w:rPr>
          <w:lang w:val="en-GB"/>
        </w:rPr>
        <w:t>beta</w:t>
      </w:r>
      <w:r w:rsidRPr="00642AB8">
        <w:rPr>
          <w:lang w:val="en-GB"/>
        </w:rPr>
        <w:t xml:space="preserve">=0.35, </w:t>
      </w:r>
      <w:r w:rsidRPr="00D51AB1">
        <w:rPr>
          <w:lang w:val="en-GB"/>
        </w:rPr>
        <w:t>SE</w:t>
      </w:r>
      <w:r w:rsidRPr="00642AB8">
        <w:rPr>
          <w:lang w:val="en-GB"/>
        </w:rPr>
        <w:t xml:space="preserve">=0.03, </w:t>
      </w:r>
      <w:r w:rsidRPr="00D51AB1">
        <w:rPr>
          <w:lang w:val="en-GB"/>
        </w:rPr>
        <w:t>z</w:t>
      </w:r>
      <w:r w:rsidRPr="00642AB8">
        <w:rPr>
          <w:lang w:val="en-GB"/>
        </w:rPr>
        <w:t xml:space="preserve">=10.71, </w:t>
      </w:r>
      <w:r w:rsidRPr="00D51AB1">
        <w:rPr>
          <w:lang w:val="en-GB"/>
        </w:rPr>
        <w:t>p</w:t>
      </w:r>
      <w:r w:rsidRPr="00642AB8">
        <w:rPr>
          <w:lang w:val="en-GB"/>
        </w:rPr>
        <w:t>&lt;</w:t>
      </w:r>
      <w:r w:rsidR="00D51AB1">
        <w:rPr>
          <w:lang w:val="en-GB"/>
        </w:rPr>
        <w:t>0</w:t>
      </w:r>
      <w:r w:rsidRPr="00642AB8">
        <w:rPr>
          <w:lang w:val="en-GB"/>
        </w:rPr>
        <w:t>.001, OR=1.41), with a 41% increase in the odds of PS per additional trauma type. Younger age was also significantly associated with PS (</w:t>
      </w:r>
      <w:r w:rsidR="00D51AB1">
        <w:rPr>
          <w:lang w:val="en-GB"/>
        </w:rPr>
        <w:t>beta</w:t>
      </w:r>
      <w:r w:rsidRPr="00642AB8">
        <w:rPr>
          <w:lang w:val="en-GB"/>
        </w:rPr>
        <w:t xml:space="preserve">=−0.15, </w:t>
      </w:r>
      <w:r w:rsidRPr="00D51AB1">
        <w:rPr>
          <w:lang w:val="en-GB"/>
        </w:rPr>
        <w:t>z</w:t>
      </w:r>
      <w:r w:rsidRPr="00642AB8">
        <w:rPr>
          <w:lang w:val="en-GB"/>
        </w:rPr>
        <w:t xml:space="preserve">=−8.55, </w:t>
      </w:r>
      <w:r w:rsidRPr="00D51AB1">
        <w:rPr>
          <w:lang w:val="en-GB"/>
        </w:rPr>
        <w:t>p</w:t>
      </w:r>
      <w:r w:rsidRPr="00642AB8">
        <w:rPr>
          <w:lang w:val="en-GB"/>
        </w:rPr>
        <w:t>&lt;</w:t>
      </w:r>
      <w:r w:rsidR="00D51AB1">
        <w:rPr>
          <w:lang w:val="en-GB"/>
        </w:rPr>
        <w:t>0</w:t>
      </w:r>
      <w:r w:rsidRPr="00642AB8">
        <w:rPr>
          <w:lang w:val="en-GB"/>
        </w:rPr>
        <w:t>.001), with the odds of PS decreasing by 14% for each additional year of age. Neither PRS-SCZ (</w:t>
      </w:r>
      <w:r w:rsidR="00D51AB1">
        <w:rPr>
          <w:lang w:val="en-GB"/>
        </w:rPr>
        <w:t>beta</w:t>
      </w:r>
      <w:r w:rsidRPr="00642AB8">
        <w:rPr>
          <w:lang w:val="en-GB"/>
        </w:rPr>
        <w:t xml:space="preserve">=−0.04, </w:t>
      </w:r>
      <w:r w:rsidRPr="00D51AB1">
        <w:rPr>
          <w:lang w:val="en-GB"/>
        </w:rPr>
        <w:t>z</w:t>
      </w:r>
      <w:r w:rsidRPr="00642AB8">
        <w:rPr>
          <w:lang w:val="en-GB"/>
        </w:rPr>
        <w:t xml:space="preserve">=−0.70, </w:t>
      </w:r>
      <w:r w:rsidRPr="00D51AB1">
        <w:rPr>
          <w:lang w:val="en-GB"/>
        </w:rPr>
        <w:t>p</w:t>
      </w:r>
      <w:r w:rsidRPr="00642AB8">
        <w:rPr>
          <w:lang w:val="en-GB"/>
        </w:rPr>
        <w:t>=</w:t>
      </w:r>
      <w:r w:rsidR="00D51AB1">
        <w:rPr>
          <w:lang w:val="en-GB"/>
        </w:rPr>
        <w:t>0</w:t>
      </w:r>
      <w:r w:rsidRPr="00642AB8">
        <w:rPr>
          <w:lang w:val="en-GB"/>
        </w:rPr>
        <w:t>.485), neighborhood SES (</w:t>
      </w:r>
      <w:r w:rsidR="00D51AB1">
        <w:rPr>
          <w:lang w:val="en-GB"/>
        </w:rPr>
        <w:t>beta</w:t>
      </w:r>
      <w:r w:rsidRPr="00642AB8">
        <w:rPr>
          <w:lang w:val="en-GB"/>
        </w:rPr>
        <w:t xml:space="preserve">=−0.06, </w:t>
      </w:r>
      <w:r w:rsidRPr="00D51AB1">
        <w:rPr>
          <w:lang w:val="en-GB"/>
        </w:rPr>
        <w:t>z</w:t>
      </w:r>
      <w:r w:rsidRPr="00642AB8">
        <w:rPr>
          <w:lang w:val="en-GB"/>
        </w:rPr>
        <w:t xml:space="preserve">=−1.02, </w:t>
      </w:r>
      <w:r w:rsidRPr="00D51AB1">
        <w:rPr>
          <w:lang w:val="en-GB"/>
        </w:rPr>
        <w:t>p</w:t>
      </w:r>
      <w:r w:rsidRPr="00642AB8">
        <w:rPr>
          <w:lang w:val="en-GB"/>
        </w:rPr>
        <w:t>=</w:t>
      </w:r>
      <w:r w:rsidR="00D51AB1">
        <w:rPr>
          <w:lang w:val="en-GB"/>
        </w:rPr>
        <w:t>0</w:t>
      </w:r>
      <w:r w:rsidRPr="00642AB8">
        <w:rPr>
          <w:lang w:val="en-GB"/>
        </w:rPr>
        <w:t>.308), nor sex (</w:t>
      </w:r>
      <w:r w:rsidR="00D51AB1">
        <w:rPr>
          <w:lang w:val="en-GB"/>
        </w:rPr>
        <w:t>beta</w:t>
      </w:r>
      <w:r w:rsidRPr="00642AB8">
        <w:rPr>
          <w:lang w:val="en-GB"/>
        </w:rPr>
        <w:t xml:space="preserve">=−0.04, </w:t>
      </w:r>
      <w:r w:rsidRPr="00D51AB1">
        <w:rPr>
          <w:lang w:val="en-GB"/>
        </w:rPr>
        <w:t>z</w:t>
      </w:r>
      <w:r w:rsidRPr="00642AB8">
        <w:rPr>
          <w:lang w:val="en-GB"/>
        </w:rPr>
        <w:t xml:space="preserve">=−0.42, </w:t>
      </w:r>
      <w:r w:rsidRPr="00D51AB1">
        <w:rPr>
          <w:lang w:val="en-GB"/>
        </w:rPr>
        <w:t>p</w:t>
      </w:r>
      <w:r w:rsidRPr="00642AB8">
        <w:rPr>
          <w:lang w:val="en-GB"/>
        </w:rPr>
        <w:t>=</w:t>
      </w:r>
      <w:r w:rsidR="00D51AB1">
        <w:rPr>
          <w:lang w:val="en-GB"/>
        </w:rPr>
        <w:t>0</w:t>
      </w:r>
      <w:r w:rsidRPr="00642AB8">
        <w:rPr>
          <w:lang w:val="en-GB"/>
        </w:rPr>
        <w:t xml:space="preserve">.674) was significantly associated with PS status. Critically, the PRS-SCZ </w:t>
      </w:r>
      <w:r w:rsidR="00D51AB1">
        <w:rPr>
          <w:lang w:val="en-GB"/>
        </w:rPr>
        <w:t>x</w:t>
      </w:r>
      <w:r w:rsidRPr="00642AB8">
        <w:rPr>
          <w:lang w:val="en-GB"/>
        </w:rPr>
        <w:t xml:space="preserve"> </w:t>
      </w:r>
      <w:r w:rsidR="00D51AB1">
        <w:rPr>
          <w:lang w:val="en-GB"/>
        </w:rPr>
        <w:t>t</w:t>
      </w:r>
      <w:r w:rsidRPr="00642AB8">
        <w:rPr>
          <w:lang w:val="en-GB"/>
        </w:rPr>
        <w:t xml:space="preserve">rauma interaction was not significant </w:t>
      </w:r>
      <w:r w:rsidRPr="00642AB8">
        <w:rPr>
          <w:lang w:val="en-GB"/>
        </w:rPr>
        <w:lastRenderedPageBreak/>
        <w:t>(</w:t>
      </w:r>
      <w:r w:rsidR="00D51AB1">
        <w:rPr>
          <w:lang w:val="en-GB"/>
        </w:rPr>
        <w:t>beta</w:t>
      </w:r>
      <w:r w:rsidRPr="00642AB8">
        <w:rPr>
          <w:lang w:val="en-GB"/>
        </w:rPr>
        <w:t xml:space="preserve">=0.01, </w:t>
      </w:r>
      <w:r w:rsidRPr="00D51AB1">
        <w:rPr>
          <w:lang w:val="en-GB"/>
        </w:rPr>
        <w:t>z</w:t>
      </w:r>
      <w:r w:rsidRPr="00642AB8">
        <w:rPr>
          <w:lang w:val="en-GB"/>
        </w:rPr>
        <w:t xml:space="preserve">=0.14, </w:t>
      </w:r>
      <w:r w:rsidRPr="00D51AB1">
        <w:rPr>
          <w:lang w:val="en-GB"/>
        </w:rPr>
        <w:t>p</w:t>
      </w:r>
      <w:r w:rsidRPr="00642AB8">
        <w:rPr>
          <w:lang w:val="en-GB"/>
        </w:rPr>
        <w:t>=</w:t>
      </w:r>
      <w:r w:rsidR="00D51AB1">
        <w:rPr>
          <w:lang w:val="en-GB"/>
        </w:rPr>
        <w:t>0</w:t>
      </w:r>
      <w:r w:rsidRPr="00642AB8">
        <w:rPr>
          <w:lang w:val="en-GB"/>
        </w:rPr>
        <w:t>.889), indicating no evidence of gene–environment interaction in the AFR subsample.</w:t>
      </w:r>
    </w:p>
    <w:p w14:paraId="62265938" w14:textId="77777777" w:rsidR="00D51AB1" w:rsidRPr="00642AB8" w:rsidRDefault="00D51AB1" w:rsidP="00D51AB1">
      <w:pPr>
        <w:spacing w:after="120" w:line="480" w:lineRule="auto"/>
        <w:ind w:firstLine="426"/>
        <w:jc w:val="both"/>
        <w:rPr>
          <w:lang w:val="en-GB"/>
        </w:rPr>
      </w:pPr>
    </w:p>
    <w:p w14:paraId="131DFE9C" w14:textId="77777777" w:rsidR="00F65B24" w:rsidRPr="00642AB8" w:rsidRDefault="00000000">
      <w:pPr>
        <w:spacing w:before="240" w:after="60" w:line="360" w:lineRule="auto"/>
        <w:rPr>
          <w:lang w:val="en-GB"/>
        </w:rPr>
      </w:pPr>
      <w:r w:rsidRPr="00642AB8">
        <w:rPr>
          <w:b/>
          <w:bCs/>
          <w:lang w:val="en-GB"/>
        </w:rPr>
        <w:t>Table S2</w:t>
      </w:r>
    </w:p>
    <w:p w14:paraId="00BD58CE" w14:textId="5D2851C0" w:rsidR="00F65B24" w:rsidRPr="00D51AB1" w:rsidRDefault="00000000">
      <w:pPr>
        <w:spacing w:after="120" w:line="360" w:lineRule="auto"/>
        <w:rPr>
          <w:lang w:val="en-GB"/>
        </w:rPr>
      </w:pPr>
      <w:r w:rsidRPr="00D51AB1">
        <w:rPr>
          <w:lang w:val="en-GB"/>
        </w:rPr>
        <w:t xml:space="preserve">Logistic </w:t>
      </w:r>
      <w:r w:rsidR="00D51AB1" w:rsidRPr="00D51AB1">
        <w:rPr>
          <w:lang w:val="en-GB"/>
        </w:rPr>
        <w:t xml:space="preserve">regression results predicting psychosis spectrum classification in the </w:t>
      </w:r>
      <w:r w:rsidR="00D51AB1">
        <w:rPr>
          <w:lang w:val="en-GB"/>
        </w:rPr>
        <w:t>A</w:t>
      </w:r>
      <w:r w:rsidR="00D51AB1" w:rsidRPr="00D51AB1">
        <w:rPr>
          <w:lang w:val="en-GB"/>
        </w:rPr>
        <w:t>frican-ancestry subsam</w:t>
      </w:r>
      <w:r w:rsidRPr="00D51AB1">
        <w:rPr>
          <w:lang w:val="en-GB"/>
        </w:rPr>
        <w:t>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240"/>
        <w:gridCol w:w="1240"/>
        <w:gridCol w:w="1240"/>
        <w:gridCol w:w="1240"/>
        <w:gridCol w:w="2200"/>
      </w:tblGrid>
      <w:tr w:rsidR="00F65B24" w:rsidRPr="00642AB8" w14:paraId="40DEDA4E" w14:textId="77777777">
        <w:tblPrEx>
          <w:tblCellMar>
            <w:top w:w="0" w:type="dxa"/>
            <w:bottom w:w="0" w:type="dxa"/>
          </w:tblCellMar>
        </w:tblPrEx>
        <w:trPr>
          <w:tblHeader/>
        </w:trPr>
        <w:tc>
          <w:tcPr>
            <w:tcW w:w="220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7B0477CD" w14:textId="77777777" w:rsidR="00F65B24" w:rsidRPr="00642AB8" w:rsidRDefault="00000000">
            <w:pPr>
              <w:rPr>
                <w:lang w:val="en-GB"/>
              </w:rPr>
            </w:pPr>
            <w:r w:rsidRPr="00642AB8">
              <w:rPr>
                <w:b/>
                <w:bCs/>
                <w:sz w:val="22"/>
                <w:szCs w:val="22"/>
                <w:lang w:val="en-GB"/>
              </w:rPr>
              <w:t>Predictor</w:t>
            </w:r>
          </w:p>
        </w:tc>
        <w:tc>
          <w:tcPr>
            <w:tcW w:w="124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7574F0AD" w14:textId="77777777" w:rsidR="00F65B24" w:rsidRPr="00642AB8" w:rsidRDefault="00000000">
            <w:pPr>
              <w:jc w:val="center"/>
              <w:rPr>
                <w:lang w:val="en-GB"/>
              </w:rPr>
            </w:pPr>
            <w:r w:rsidRPr="00642AB8">
              <w:rPr>
                <w:b/>
                <w:bCs/>
                <w:i/>
                <w:iCs/>
                <w:sz w:val="22"/>
                <w:szCs w:val="22"/>
                <w:lang w:val="en-GB"/>
              </w:rPr>
              <w:t>B</w:t>
            </w:r>
          </w:p>
        </w:tc>
        <w:tc>
          <w:tcPr>
            <w:tcW w:w="124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2242164F" w14:textId="77777777" w:rsidR="00F65B24" w:rsidRPr="00642AB8" w:rsidRDefault="00000000">
            <w:pPr>
              <w:jc w:val="center"/>
              <w:rPr>
                <w:lang w:val="en-GB"/>
              </w:rPr>
            </w:pPr>
            <w:r w:rsidRPr="00642AB8">
              <w:rPr>
                <w:b/>
                <w:bCs/>
                <w:i/>
                <w:iCs/>
                <w:sz w:val="22"/>
                <w:szCs w:val="22"/>
                <w:lang w:val="en-GB"/>
              </w:rPr>
              <w:t>SE</w:t>
            </w:r>
          </w:p>
        </w:tc>
        <w:tc>
          <w:tcPr>
            <w:tcW w:w="124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5C5E991B" w14:textId="77777777" w:rsidR="00F65B24" w:rsidRPr="00642AB8" w:rsidRDefault="00000000">
            <w:pPr>
              <w:jc w:val="center"/>
              <w:rPr>
                <w:lang w:val="en-GB"/>
              </w:rPr>
            </w:pPr>
            <w:r w:rsidRPr="00642AB8">
              <w:rPr>
                <w:b/>
                <w:bCs/>
                <w:i/>
                <w:iCs/>
                <w:sz w:val="22"/>
                <w:szCs w:val="22"/>
                <w:lang w:val="en-GB"/>
              </w:rPr>
              <w:t>z</w:t>
            </w:r>
          </w:p>
        </w:tc>
        <w:tc>
          <w:tcPr>
            <w:tcW w:w="124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34249ACB" w14:textId="77777777" w:rsidR="00F65B24" w:rsidRPr="00642AB8" w:rsidRDefault="00000000">
            <w:pPr>
              <w:jc w:val="center"/>
              <w:rPr>
                <w:lang w:val="en-GB"/>
              </w:rPr>
            </w:pPr>
            <w:r w:rsidRPr="00642AB8">
              <w:rPr>
                <w:b/>
                <w:bCs/>
                <w:i/>
                <w:iCs/>
                <w:sz w:val="22"/>
                <w:szCs w:val="22"/>
                <w:lang w:val="en-GB"/>
              </w:rPr>
              <w:t>p</w:t>
            </w:r>
          </w:p>
        </w:tc>
        <w:tc>
          <w:tcPr>
            <w:tcW w:w="2200" w:type="dxa"/>
            <w:tcBorders>
              <w:top w:val="single" w:sz="4" w:space="0" w:color="888888"/>
              <w:left w:val="single" w:sz="4" w:space="0" w:color="888888"/>
              <w:bottom w:val="single" w:sz="4" w:space="0" w:color="888888"/>
              <w:right w:val="single" w:sz="4" w:space="0" w:color="888888"/>
            </w:tcBorders>
            <w:shd w:val="clear" w:color="auto" w:fill="E8EDF2"/>
            <w:tcMar>
              <w:top w:w="80" w:type="dxa"/>
              <w:left w:w="120" w:type="dxa"/>
              <w:bottom w:w="80" w:type="dxa"/>
              <w:right w:w="120" w:type="dxa"/>
            </w:tcMar>
            <w:vAlign w:val="center"/>
          </w:tcPr>
          <w:p w14:paraId="7B532C7E" w14:textId="77777777" w:rsidR="00F65B24" w:rsidRPr="00642AB8" w:rsidRDefault="00000000">
            <w:pPr>
              <w:jc w:val="center"/>
              <w:rPr>
                <w:lang w:val="en-GB"/>
              </w:rPr>
            </w:pPr>
            <w:r w:rsidRPr="00642AB8">
              <w:rPr>
                <w:b/>
                <w:bCs/>
                <w:sz w:val="22"/>
                <w:szCs w:val="22"/>
                <w:lang w:val="en-GB"/>
              </w:rPr>
              <w:t>OR [95% CI]</w:t>
            </w:r>
          </w:p>
        </w:tc>
      </w:tr>
      <w:tr w:rsidR="00F65B24" w:rsidRPr="00642AB8" w14:paraId="11E1EFFE" w14:textId="77777777">
        <w:tblPrEx>
          <w:tblCellMar>
            <w:top w:w="0" w:type="dxa"/>
            <w:bottom w:w="0" w:type="dxa"/>
          </w:tblCellMar>
        </w:tblPrEx>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4069B7FB" w14:textId="77777777" w:rsidR="00F65B24" w:rsidRPr="00642AB8" w:rsidRDefault="00000000">
            <w:pPr>
              <w:rPr>
                <w:lang w:val="en-GB"/>
              </w:rPr>
            </w:pPr>
            <w:r w:rsidRPr="00642AB8">
              <w:rPr>
                <w:sz w:val="22"/>
                <w:szCs w:val="22"/>
                <w:lang w:val="en-GB"/>
              </w:rPr>
              <w:t>Intercept</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2C3E343" w14:textId="77777777" w:rsidR="00F65B24" w:rsidRPr="00642AB8" w:rsidRDefault="00000000">
            <w:pPr>
              <w:jc w:val="center"/>
              <w:rPr>
                <w:lang w:val="en-GB"/>
              </w:rPr>
            </w:pPr>
            <w:r w:rsidRPr="00642AB8">
              <w:rPr>
                <w:sz w:val="22"/>
                <w:szCs w:val="22"/>
                <w:lang w:val="en-GB"/>
              </w:rPr>
              <w:t>1.25</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FF25B55" w14:textId="77777777" w:rsidR="00F65B24" w:rsidRPr="00642AB8" w:rsidRDefault="00000000">
            <w:pPr>
              <w:jc w:val="center"/>
              <w:rPr>
                <w:lang w:val="en-GB"/>
              </w:rPr>
            </w:pPr>
            <w:r w:rsidRPr="00642AB8">
              <w:rPr>
                <w:sz w:val="22"/>
                <w:szCs w:val="22"/>
                <w:lang w:val="en-GB"/>
              </w:rPr>
              <w:t>0.29</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FA68520" w14:textId="77777777" w:rsidR="00F65B24" w:rsidRPr="00642AB8" w:rsidRDefault="00000000">
            <w:pPr>
              <w:jc w:val="center"/>
              <w:rPr>
                <w:lang w:val="en-GB"/>
              </w:rPr>
            </w:pPr>
            <w:r w:rsidRPr="00642AB8">
              <w:rPr>
                <w:sz w:val="22"/>
                <w:szCs w:val="22"/>
                <w:lang w:val="en-GB"/>
              </w:rPr>
              <w:t>4.26</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24DEDC6" w14:textId="002DF910" w:rsidR="00F65B24" w:rsidRPr="00642AB8" w:rsidRDefault="00000000">
            <w:pPr>
              <w:jc w:val="center"/>
              <w:rPr>
                <w:lang w:val="en-GB"/>
              </w:rPr>
            </w:pPr>
            <w:r w:rsidRPr="00642AB8">
              <w:rPr>
                <w:sz w:val="22"/>
                <w:szCs w:val="22"/>
                <w:lang w:val="en-GB"/>
              </w:rPr>
              <w:t>&lt;</w:t>
            </w:r>
            <w:r w:rsidR="00D51AB1">
              <w:rPr>
                <w:sz w:val="22"/>
                <w:szCs w:val="22"/>
                <w:lang w:val="en-GB"/>
              </w:rPr>
              <w:t>0</w:t>
            </w:r>
            <w:r w:rsidRPr="00642AB8">
              <w:rPr>
                <w:sz w:val="22"/>
                <w:szCs w:val="22"/>
                <w:lang w:val="en-GB"/>
              </w:rPr>
              <w:t>.001</w:t>
            </w:r>
          </w:p>
        </w:tc>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2A793E8" w14:textId="77777777" w:rsidR="00F65B24" w:rsidRPr="00642AB8" w:rsidRDefault="00000000">
            <w:pPr>
              <w:jc w:val="center"/>
              <w:rPr>
                <w:lang w:val="en-GB"/>
              </w:rPr>
            </w:pPr>
            <w:r w:rsidRPr="00642AB8">
              <w:rPr>
                <w:sz w:val="22"/>
                <w:szCs w:val="22"/>
                <w:lang w:val="en-GB"/>
              </w:rPr>
              <w:t>—</w:t>
            </w:r>
          </w:p>
        </w:tc>
      </w:tr>
      <w:tr w:rsidR="00F65B24" w:rsidRPr="00642AB8" w14:paraId="684AADA2" w14:textId="77777777">
        <w:tblPrEx>
          <w:tblCellMar>
            <w:top w:w="0" w:type="dxa"/>
            <w:bottom w:w="0" w:type="dxa"/>
          </w:tblCellMar>
        </w:tblPrEx>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3C0AC68" w14:textId="77777777" w:rsidR="00F65B24" w:rsidRPr="00642AB8" w:rsidRDefault="00000000">
            <w:pPr>
              <w:rPr>
                <w:lang w:val="en-GB"/>
              </w:rPr>
            </w:pPr>
            <w:r w:rsidRPr="00642AB8">
              <w:rPr>
                <w:sz w:val="22"/>
                <w:szCs w:val="22"/>
                <w:lang w:val="en-GB"/>
              </w:rPr>
              <w:t>PRS-SCZ</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1A2D00C" w14:textId="77777777" w:rsidR="00F65B24" w:rsidRPr="00642AB8" w:rsidRDefault="00000000">
            <w:pPr>
              <w:jc w:val="center"/>
              <w:rPr>
                <w:lang w:val="en-GB"/>
              </w:rPr>
            </w:pPr>
            <w:r w:rsidRPr="00642AB8">
              <w:rPr>
                <w:sz w:val="22"/>
                <w:szCs w:val="22"/>
                <w:lang w:val="en-GB"/>
              </w:rPr>
              <w:t>−0.04</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4E143406" w14:textId="77777777" w:rsidR="00F65B24" w:rsidRPr="00642AB8" w:rsidRDefault="00000000">
            <w:pPr>
              <w:jc w:val="center"/>
              <w:rPr>
                <w:lang w:val="en-GB"/>
              </w:rPr>
            </w:pPr>
            <w:r w:rsidRPr="00642AB8">
              <w:rPr>
                <w:sz w:val="22"/>
                <w:szCs w:val="22"/>
                <w:lang w:val="en-GB"/>
              </w:rPr>
              <w:t>0.05</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781CB7F2" w14:textId="77777777" w:rsidR="00F65B24" w:rsidRPr="00642AB8" w:rsidRDefault="00000000">
            <w:pPr>
              <w:jc w:val="center"/>
              <w:rPr>
                <w:lang w:val="en-GB"/>
              </w:rPr>
            </w:pPr>
            <w:r w:rsidRPr="00642AB8">
              <w:rPr>
                <w:sz w:val="22"/>
                <w:szCs w:val="22"/>
                <w:lang w:val="en-GB"/>
              </w:rPr>
              <w:t>−0.70</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0C9C317" w14:textId="7EB89447" w:rsidR="00F65B24" w:rsidRPr="00642AB8" w:rsidRDefault="00D51AB1">
            <w:pPr>
              <w:jc w:val="center"/>
              <w:rPr>
                <w:lang w:val="en-GB"/>
              </w:rPr>
            </w:pPr>
            <w:r>
              <w:rPr>
                <w:sz w:val="22"/>
                <w:szCs w:val="22"/>
                <w:lang w:val="en-GB"/>
              </w:rPr>
              <w:t>0</w:t>
            </w:r>
            <w:r w:rsidR="00000000" w:rsidRPr="00642AB8">
              <w:rPr>
                <w:sz w:val="22"/>
                <w:szCs w:val="22"/>
                <w:lang w:val="en-GB"/>
              </w:rPr>
              <w:t>.485</w:t>
            </w:r>
          </w:p>
        </w:tc>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574E0CB7" w14:textId="77777777" w:rsidR="00F65B24" w:rsidRPr="00642AB8" w:rsidRDefault="00000000">
            <w:pPr>
              <w:jc w:val="center"/>
              <w:rPr>
                <w:lang w:val="en-GB"/>
              </w:rPr>
            </w:pPr>
            <w:r w:rsidRPr="00642AB8">
              <w:rPr>
                <w:sz w:val="22"/>
                <w:szCs w:val="22"/>
                <w:lang w:val="en-GB"/>
              </w:rPr>
              <w:t>0.96 [0.87, 1.07]</w:t>
            </w:r>
          </w:p>
        </w:tc>
      </w:tr>
      <w:tr w:rsidR="00F65B24" w:rsidRPr="00642AB8" w14:paraId="10CCA328" w14:textId="77777777">
        <w:tblPrEx>
          <w:tblCellMar>
            <w:top w:w="0" w:type="dxa"/>
            <w:bottom w:w="0" w:type="dxa"/>
          </w:tblCellMar>
        </w:tblPrEx>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3F40D66" w14:textId="77777777" w:rsidR="00F65B24" w:rsidRPr="00642AB8" w:rsidRDefault="00000000">
            <w:pPr>
              <w:rPr>
                <w:lang w:val="en-GB"/>
              </w:rPr>
            </w:pPr>
            <w:r w:rsidRPr="00642AB8">
              <w:rPr>
                <w:sz w:val="22"/>
                <w:szCs w:val="22"/>
                <w:lang w:val="en-GB"/>
              </w:rPr>
              <w:t>Trauma types</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4B2CAF6" w14:textId="77777777" w:rsidR="00F65B24" w:rsidRPr="00642AB8" w:rsidRDefault="00000000">
            <w:pPr>
              <w:jc w:val="center"/>
              <w:rPr>
                <w:lang w:val="en-GB"/>
              </w:rPr>
            </w:pPr>
            <w:r w:rsidRPr="00642AB8">
              <w:rPr>
                <w:sz w:val="22"/>
                <w:szCs w:val="22"/>
                <w:lang w:val="en-GB"/>
              </w:rPr>
              <w:t>0.35</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A210F18" w14:textId="77777777" w:rsidR="00F65B24" w:rsidRPr="00642AB8" w:rsidRDefault="00000000">
            <w:pPr>
              <w:jc w:val="center"/>
              <w:rPr>
                <w:lang w:val="en-GB"/>
              </w:rPr>
            </w:pPr>
            <w:r w:rsidRPr="00642AB8">
              <w:rPr>
                <w:sz w:val="22"/>
                <w:szCs w:val="22"/>
                <w:lang w:val="en-GB"/>
              </w:rPr>
              <w:t>0.03</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514CC962" w14:textId="77777777" w:rsidR="00F65B24" w:rsidRPr="00642AB8" w:rsidRDefault="00000000">
            <w:pPr>
              <w:jc w:val="center"/>
              <w:rPr>
                <w:lang w:val="en-GB"/>
              </w:rPr>
            </w:pPr>
            <w:r w:rsidRPr="00642AB8">
              <w:rPr>
                <w:sz w:val="22"/>
                <w:szCs w:val="22"/>
                <w:lang w:val="en-GB"/>
              </w:rPr>
              <w:t>10.71</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9D6A140" w14:textId="27000C9E" w:rsidR="00F65B24" w:rsidRPr="00642AB8" w:rsidRDefault="00000000">
            <w:pPr>
              <w:jc w:val="center"/>
              <w:rPr>
                <w:lang w:val="en-GB"/>
              </w:rPr>
            </w:pPr>
            <w:r w:rsidRPr="00642AB8">
              <w:rPr>
                <w:sz w:val="22"/>
                <w:szCs w:val="22"/>
                <w:lang w:val="en-GB"/>
              </w:rPr>
              <w:t>&lt;</w:t>
            </w:r>
            <w:r w:rsidR="00D51AB1">
              <w:rPr>
                <w:sz w:val="22"/>
                <w:szCs w:val="22"/>
                <w:lang w:val="en-GB"/>
              </w:rPr>
              <w:t>0</w:t>
            </w:r>
            <w:r w:rsidRPr="00642AB8">
              <w:rPr>
                <w:sz w:val="22"/>
                <w:szCs w:val="22"/>
                <w:lang w:val="en-GB"/>
              </w:rPr>
              <w:t>.001</w:t>
            </w:r>
          </w:p>
        </w:tc>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9F4D644" w14:textId="77777777" w:rsidR="00F65B24" w:rsidRPr="00642AB8" w:rsidRDefault="00000000">
            <w:pPr>
              <w:jc w:val="center"/>
              <w:rPr>
                <w:lang w:val="en-GB"/>
              </w:rPr>
            </w:pPr>
            <w:r w:rsidRPr="00642AB8">
              <w:rPr>
                <w:sz w:val="22"/>
                <w:szCs w:val="22"/>
                <w:lang w:val="en-GB"/>
              </w:rPr>
              <w:t>1.41 [1.33, 1.50]</w:t>
            </w:r>
          </w:p>
        </w:tc>
      </w:tr>
      <w:tr w:rsidR="00F65B24" w:rsidRPr="00642AB8" w14:paraId="2591752E" w14:textId="77777777">
        <w:tblPrEx>
          <w:tblCellMar>
            <w:top w:w="0" w:type="dxa"/>
            <w:bottom w:w="0" w:type="dxa"/>
          </w:tblCellMar>
        </w:tblPrEx>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59BEEB4" w14:textId="77777777" w:rsidR="00F65B24" w:rsidRPr="00642AB8" w:rsidRDefault="00000000">
            <w:pPr>
              <w:rPr>
                <w:lang w:val="en-GB"/>
              </w:rPr>
            </w:pPr>
            <w:r w:rsidRPr="00642AB8">
              <w:rPr>
                <w:sz w:val="22"/>
                <w:szCs w:val="22"/>
                <w:lang w:val="en-GB"/>
              </w:rPr>
              <w:t>envSES</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A213993" w14:textId="77777777" w:rsidR="00F65B24" w:rsidRPr="00642AB8" w:rsidRDefault="00000000">
            <w:pPr>
              <w:jc w:val="center"/>
              <w:rPr>
                <w:lang w:val="en-GB"/>
              </w:rPr>
            </w:pPr>
            <w:r w:rsidRPr="00642AB8">
              <w:rPr>
                <w:sz w:val="22"/>
                <w:szCs w:val="22"/>
                <w:lang w:val="en-GB"/>
              </w:rPr>
              <w:t>−0.06</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7AA6923" w14:textId="77777777" w:rsidR="00F65B24" w:rsidRPr="00642AB8" w:rsidRDefault="00000000">
            <w:pPr>
              <w:jc w:val="center"/>
              <w:rPr>
                <w:lang w:val="en-GB"/>
              </w:rPr>
            </w:pPr>
            <w:r w:rsidRPr="00642AB8">
              <w:rPr>
                <w:sz w:val="22"/>
                <w:szCs w:val="22"/>
                <w:lang w:val="en-GB"/>
              </w:rPr>
              <w:t>0.06</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F90280D" w14:textId="77777777" w:rsidR="00F65B24" w:rsidRPr="00642AB8" w:rsidRDefault="00000000">
            <w:pPr>
              <w:jc w:val="center"/>
              <w:rPr>
                <w:lang w:val="en-GB"/>
              </w:rPr>
            </w:pPr>
            <w:r w:rsidRPr="00642AB8">
              <w:rPr>
                <w:sz w:val="22"/>
                <w:szCs w:val="22"/>
                <w:lang w:val="en-GB"/>
              </w:rPr>
              <w:t>−1.02</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485D4760" w14:textId="47F0CA70" w:rsidR="00F65B24" w:rsidRPr="00642AB8" w:rsidRDefault="00D51AB1">
            <w:pPr>
              <w:jc w:val="center"/>
              <w:rPr>
                <w:lang w:val="en-GB"/>
              </w:rPr>
            </w:pPr>
            <w:r>
              <w:rPr>
                <w:sz w:val="22"/>
                <w:szCs w:val="22"/>
                <w:lang w:val="en-GB"/>
              </w:rPr>
              <w:t>0</w:t>
            </w:r>
            <w:r w:rsidR="00000000" w:rsidRPr="00642AB8">
              <w:rPr>
                <w:sz w:val="22"/>
                <w:szCs w:val="22"/>
                <w:lang w:val="en-GB"/>
              </w:rPr>
              <w:t>.308</w:t>
            </w:r>
          </w:p>
        </w:tc>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3D8800BF" w14:textId="77777777" w:rsidR="00F65B24" w:rsidRPr="00642AB8" w:rsidRDefault="00000000">
            <w:pPr>
              <w:jc w:val="center"/>
              <w:rPr>
                <w:lang w:val="en-GB"/>
              </w:rPr>
            </w:pPr>
            <w:r w:rsidRPr="00642AB8">
              <w:rPr>
                <w:sz w:val="22"/>
                <w:szCs w:val="22"/>
                <w:lang w:val="en-GB"/>
              </w:rPr>
              <w:t>0.94 [0.84, 1.06]</w:t>
            </w:r>
          </w:p>
        </w:tc>
      </w:tr>
      <w:tr w:rsidR="00F65B24" w:rsidRPr="00642AB8" w14:paraId="64F98B50" w14:textId="77777777">
        <w:tblPrEx>
          <w:tblCellMar>
            <w:top w:w="0" w:type="dxa"/>
            <w:bottom w:w="0" w:type="dxa"/>
          </w:tblCellMar>
        </w:tblPrEx>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58493EB9" w14:textId="77777777" w:rsidR="00F65B24" w:rsidRPr="00642AB8" w:rsidRDefault="00000000">
            <w:pPr>
              <w:rPr>
                <w:lang w:val="en-GB"/>
              </w:rPr>
            </w:pPr>
            <w:r w:rsidRPr="00642AB8">
              <w:rPr>
                <w:sz w:val="22"/>
                <w:szCs w:val="22"/>
                <w:lang w:val="en-GB"/>
              </w:rPr>
              <w:t>Sex (female)</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CF83752" w14:textId="77777777" w:rsidR="00F65B24" w:rsidRPr="00642AB8" w:rsidRDefault="00000000">
            <w:pPr>
              <w:jc w:val="center"/>
              <w:rPr>
                <w:lang w:val="en-GB"/>
              </w:rPr>
            </w:pPr>
            <w:r w:rsidRPr="00642AB8">
              <w:rPr>
                <w:sz w:val="22"/>
                <w:szCs w:val="22"/>
                <w:lang w:val="en-GB"/>
              </w:rPr>
              <w:t>−0.04</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96EFEC9" w14:textId="77777777" w:rsidR="00F65B24" w:rsidRPr="00642AB8" w:rsidRDefault="00000000">
            <w:pPr>
              <w:jc w:val="center"/>
              <w:rPr>
                <w:lang w:val="en-GB"/>
              </w:rPr>
            </w:pPr>
            <w:r w:rsidRPr="00642AB8">
              <w:rPr>
                <w:sz w:val="22"/>
                <w:szCs w:val="22"/>
                <w:lang w:val="en-GB"/>
              </w:rPr>
              <w:t>0.09</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2312F20" w14:textId="77777777" w:rsidR="00F65B24" w:rsidRPr="00642AB8" w:rsidRDefault="00000000">
            <w:pPr>
              <w:jc w:val="center"/>
              <w:rPr>
                <w:lang w:val="en-GB"/>
              </w:rPr>
            </w:pPr>
            <w:r w:rsidRPr="00642AB8">
              <w:rPr>
                <w:sz w:val="22"/>
                <w:szCs w:val="22"/>
                <w:lang w:val="en-GB"/>
              </w:rPr>
              <w:t>−0.42</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53E9AAC0" w14:textId="7B92F7A3" w:rsidR="00F65B24" w:rsidRPr="00642AB8" w:rsidRDefault="00D51AB1">
            <w:pPr>
              <w:jc w:val="center"/>
              <w:rPr>
                <w:lang w:val="en-GB"/>
              </w:rPr>
            </w:pPr>
            <w:r>
              <w:rPr>
                <w:sz w:val="22"/>
                <w:szCs w:val="22"/>
                <w:lang w:val="en-GB"/>
              </w:rPr>
              <w:t>0</w:t>
            </w:r>
            <w:r w:rsidR="00000000" w:rsidRPr="00642AB8">
              <w:rPr>
                <w:sz w:val="22"/>
                <w:szCs w:val="22"/>
                <w:lang w:val="en-GB"/>
              </w:rPr>
              <w:t>.674</w:t>
            </w:r>
          </w:p>
        </w:tc>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46487692" w14:textId="77777777" w:rsidR="00F65B24" w:rsidRPr="00642AB8" w:rsidRDefault="00000000">
            <w:pPr>
              <w:jc w:val="center"/>
              <w:rPr>
                <w:lang w:val="en-GB"/>
              </w:rPr>
            </w:pPr>
            <w:r w:rsidRPr="00642AB8">
              <w:rPr>
                <w:sz w:val="22"/>
                <w:szCs w:val="22"/>
                <w:lang w:val="en-GB"/>
              </w:rPr>
              <w:t>0.96 [0.81, 1.15]</w:t>
            </w:r>
          </w:p>
        </w:tc>
      </w:tr>
      <w:tr w:rsidR="00F65B24" w:rsidRPr="00642AB8" w14:paraId="1004C3BB" w14:textId="77777777">
        <w:tblPrEx>
          <w:tblCellMar>
            <w:top w:w="0" w:type="dxa"/>
            <w:bottom w:w="0" w:type="dxa"/>
          </w:tblCellMar>
        </w:tblPrEx>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546278D1" w14:textId="77777777" w:rsidR="00F65B24" w:rsidRPr="00642AB8" w:rsidRDefault="00000000">
            <w:pPr>
              <w:rPr>
                <w:lang w:val="en-GB"/>
              </w:rPr>
            </w:pPr>
            <w:r w:rsidRPr="00642AB8">
              <w:rPr>
                <w:sz w:val="22"/>
                <w:szCs w:val="22"/>
                <w:lang w:val="en-GB"/>
              </w:rPr>
              <w:t>Age</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60C1D453" w14:textId="77777777" w:rsidR="00F65B24" w:rsidRPr="00642AB8" w:rsidRDefault="00000000">
            <w:pPr>
              <w:jc w:val="center"/>
              <w:rPr>
                <w:lang w:val="en-GB"/>
              </w:rPr>
            </w:pPr>
            <w:r w:rsidRPr="00642AB8">
              <w:rPr>
                <w:sz w:val="22"/>
                <w:szCs w:val="22"/>
                <w:lang w:val="en-GB"/>
              </w:rPr>
              <w:t>−0.15</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6FB4B4C" w14:textId="77777777" w:rsidR="00F65B24" w:rsidRPr="00642AB8" w:rsidRDefault="00000000">
            <w:pPr>
              <w:jc w:val="center"/>
              <w:rPr>
                <w:lang w:val="en-GB"/>
              </w:rPr>
            </w:pPr>
            <w:r w:rsidRPr="00642AB8">
              <w:rPr>
                <w:sz w:val="22"/>
                <w:szCs w:val="22"/>
                <w:lang w:val="en-GB"/>
              </w:rPr>
              <w:t>0.02</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71845F99" w14:textId="77777777" w:rsidR="00F65B24" w:rsidRPr="00642AB8" w:rsidRDefault="00000000">
            <w:pPr>
              <w:jc w:val="center"/>
              <w:rPr>
                <w:lang w:val="en-GB"/>
              </w:rPr>
            </w:pPr>
            <w:r w:rsidRPr="00642AB8">
              <w:rPr>
                <w:sz w:val="22"/>
                <w:szCs w:val="22"/>
                <w:lang w:val="en-GB"/>
              </w:rPr>
              <w:t>−8.55</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7E546B3C" w14:textId="5304A0D3" w:rsidR="00F65B24" w:rsidRPr="00642AB8" w:rsidRDefault="00000000">
            <w:pPr>
              <w:jc w:val="center"/>
              <w:rPr>
                <w:lang w:val="en-GB"/>
              </w:rPr>
            </w:pPr>
            <w:r w:rsidRPr="00642AB8">
              <w:rPr>
                <w:sz w:val="22"/>
                <w:szCs w:val="22"/>
                <w:lang w:val="en-GB"/>
              </w:rPr>
              <w:t>&lt;</w:t>
            </w:r>
            <w:r w:rsidR="00D51AB1">
              <w:rPr>
                <w:sz w:val="22"/>
                <w:szCs w:val="22"/>
                <w:lang w:val="en-GB"/>
              </w:rPr>
              <w:t>0</w:t>
            </w:r>
            <w:r w:rsidRPr="00642AB8">
              <w:rPr>
                <w:sz w:val="22"/>
                <w:szCs w:val="22"/>
                <w:lang w:val="en-GB"/>
              </w:rPr>
              <w:t>.001</w:t>
            </w:r>
          </w:p>
        </w:tc>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07A2EA57" w14:textId="77777777" w:rsidR="00F65B24" w:rsidRPr="00642AB8" w:rsidRDefault="00000000">
            <w:pPr>
              <w:jc w:val="center"/>
              <w:rPr>
                <w:lang w:val="en-GB"/>
              </w:rPr>
            </w:pPr>
            <w:r w:rsidRPr="00642AB8">
              <w:rPr>
                <w:sz w:val="22"/>
                <w:szCs w:val="22"/>
                <w:lang w:val="en-GB"/>
              </w:rPr>
              <w:t>0.86 [0.83, 0.89]</w:t>
            </w:r>
          </w:p>
        </w:tc>
      </w:tr>
      <w:tr w:rsidR="00F65B24" w:rsidRPr="00642AB8" w14:paraId="36973670" w14:textId="77777777">
        <w:tblPrEx>
          <w:tblCellMar>
            <w:top w:w="0" w:type="dxa"/>
            <w:bottom w:w="0" w:type="dxa"/>
          </w:tblCellMar>
        </w:tblPrEx>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1D59249" w14:textId="77777777" w:rsidR="00F65B24" w:rsidRPr="00642AB8" w:rsidRDefault="00000000">
            <w:pPr>
              <w:rPr>
                <w:lang w:val="en-GB"/>
              </w:rPr>
            </w:pPr>
            <w:r w:rsidRPr="00642AB8">
              <w:rPr>
                <w:sz w:val="22"/>
                <w:szCs w:val="22"/>
                <w:lang w:val="en-GB"/>
              </w:rPr>
              <w:t>PRS-SCZ × Trauma</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959BA96" w14:textId="77777777" w:rsidR="00F65B24" w:rsidRPr="00642AB8" w:rsidRDefault="00000000">
            <w:pPr>
              <w:jc w:val="center"/>
              <w:rPr>
                <w:lang w:val="en-GB"/>
              </w:rPr>
            </w:pPr>
            <w:r w:rsidRPr="00642AB8">
              <w:rPr>
                <w:sz w:val="22"/>
                <w:szCs w:val="22"/>
                <w:lang w:val="en-GB"/>
              </w:rPr>
              <w:t>0.01</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2257CB95" w14:textId="77777777" w:rsidR="00F65B24" w:rsidRPr="00642AB8" w:rsidRDefault="00000000">
            <w:pPr>
              <w:jc w:val="center"/>
              <w:rPr>
                <w:lang w:val="en-GB"/>
              </w:rPr>
            </w:pPr>
            <w:r w:rsidRPr="00642AB8">
              <w:rPr>
                <w:sz w:val="22"/>
                <w:szCs w:val="22"/>
                <w:lang w:val="en-GB"/>
              </w:rPr>
              <w:t>0.04</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1D29EAB9" w14:textId="77777777" w:rsidR="00F65B24" w:rsidRPr="00642AB8" w:rsidRDefault="00000000">
            <w:pPr>
              <w:jc w:val="center"/>
              <w:rPr>
                <w:lang w:val="en-GB"/>
              </w:rPr>
            </w:pPr>
            <w:r w:rsidRPr="00642AB8">
              <w:rPr>
                <w:sz w:val="22"/>
                <w:szCs w:val="22"/>
                <w:lang w:val="en-GB"/>
              </w:rPr>
              <w:t>0.14</w:t>
            </w:r>
          </w:p>
        </w:tc>
        <w:tc>
          <w:tcPr>
            <w:tcW w:w="124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6C1E7BA5" w14:textId="739AA719" w:rsidR="00F65B24" w:rsidRPr="00642AB8" w:rsidRDefault="00D51AB1">
            <w:pPr>
              <w:jc w:val="center"/>
              <w:rPr>
                <w:lang w:val="en-GB"/>
              </w:rPr>
            </w:pPr>
            <w:r>
              <w:rPr>
                <w:sz w:val="22"/>
                <w:szCs w:val="22"/>
                <w:lang w:val="en-GB"/>
              </w:rPr>
              <w:t>0</w:t>
            </w:r>
            <w:r w:rsidR="00000000" w:rsidRPr="00642AB8">
              <w:rPr>
                <w:sz w:val="22"/>
                <w:szCs w:val="22"/>
                <w:lang w:val="en-GB"/>
              </w:rPr>
              <w:t>.889</w:t>
            </w:r>
          </w:p>
        </w:tc>
        <w:tc>
          <w:tcPr>
            <w:tcW w:w="2200"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vAlign w:val="center"/>
          </w:tcPr>
          <w:p w14:paraId="687A4ADF" w14:textId="77777777" w:rsidR="00F65B24" w:rsidRPr="00642AB8" w:rsidRDefault="00000000">
            <w:pPr>
              <w:jc w:val="center"/>
              <w:rPr>
                <w:lang w:val="en-GB"/>
              </w:rPr>
            </w:pPr>
            <w:r w:rsidRPr="00642AB8">
              <w:rPr>
                <w:sz w:val="22"/>
                <w:szCs w:val="22"/>
                <w:lang w:val="en-GB"/>
              </w:rPr>
              <w:t>1.01 [0.94, 1.08]</w:t>
            </w:r>
          </w:p>
        </w:tc>
      </w:tr>
    </w:tbl>
    <w:p w14:paraId="65E116AC" w14:textId="77777777" w:rsidR="00D51AB1" w:rsidRDefault="00D51AB1" w:rsidP="00D51AB1">
      <w:pPr>
        <w:rPr>
          <w:sz w:val="22"/>
          <w:szCs w:val="22"/>
          <w:lang w:val="en-GB"/>
        </w:rPr>
      </w:pPr>
    </w:p>
    <w:p w14:paraId="62102FF7" w14:textId="28FA481B" w:rsidR="00F65B24" w:rsidRPr="00642AB8" w:rsidRDefault="00000000" w:rsidP="00D51AB1">
      <w:pPr>
        <w:spacing w:after="240"/>
        <w:rPr>
          <w:lang w:val="en-GB"/>
        </w:rPr>
      </w:pPr>
      <w:r w:rsidRPr="00642AB8">
        <w:rPr>
          <w:sz w:val="22"/>
          <w:szCs w:val="22"/>
          <w:lang w:val="en-GB"/>
        </w:rPr>
        <w:t>Main effects are from the additive model (without the interaction term). The interaction term is from the full model including the product term. OR = odds ratio; CI = confidence interval; PRS-SCZ = polygenic risk score for schizophrenia; envSES = neighborhood socioeconomic status.</w:t>
      </w:r>
    </w:p>
    <w:p w14:paraId="1A95F1A6" w14:textId="77777777" w:rsidR="006D290E" w:rsidRDefault="006D290E">
      <w:pPr>
        <w:spacing w:after="120" w:line="480" w:lineRule="auto"/>
        <w:rPr>
          <w:lang w:val="en-GB"/>
        </w:rPr>
      </w:pPr>
    </w:p>
    <w:p w14:paraId="220D094C" w14:textId="4017C36A" w:rsidR="00F65B24" w:rsidRDefault="00000000" w:rsidP="006D290E">
      <w:pPr>
        <w:spacing w:after="120" w:line="480" w:lineRule="auto"/>
        <w:ind w:firstLine="426"/>
        <w:jc w:val="both"/>
        <w:rPr>
          <w:lang w:val="en-GB"/>
        </w:rPr>
      </w:pPr>
      <w:r w:rsidRPr="00642AB8">
        <w:rPr>
          <w:lang w:val="en-GB"/>
        </w:rPr>
        <w:t>The nonsignificant main effect of PRS-SCZ in the AFR subsample</w:t>
      </w:r>
      <w:r w:rsidR="006D290E">
        <w:rPr>
          <w:lang w:val="en-GB"/>
        </w:rPr>
        <w:t xml:space="preserve"> – </w:t>
      </w:r>
      <w:r w:rsidRPr="00642AB8">
        <w:rPr>
          <w:lang w:val="en-GB"/>
        </w:rPr>
        <w:t>alongside</w:t>
      </w:r>
      <w:r w:rsidR="006D290E">
        <w:rPr>
          <w:lang w:val="en-GB"/>
        </w:rPr>
        <w:t xml:space="preserve"> </w:t>
      </w:r>
      <w:r w:rsidRPr="00642AB8">
        <w:rPr>
          <w:lang w:val="en-GB"/>
        </w:rPr>
        <w:t xml:space="preserve">the absence of a PRS-SCZ </w:t>
      </w:r>
      <w:r w:rsidR="006D290E">
        <w:rPr>
          <w:lang w:val="en-GB"/>
        </w:rPr>
        <w:t>x</w:t>
      </w:r>
      <w:r w:rsidRPr="00642AB8">
        <w:rPr>
          <w:lang w:val="en-GB"/>
        </w:rPr>
        <w:t xml:space="preserve"> </w:t>
      </w:r>
      <w:r w:rsidR="006D290E">
        <w:rPr>
          <w:lang w:val="en-GB"/>
        </w:rPr>
        <w:t>t</w:t>
      </w:r>
      <w:r w:rsidRPr="00642AB8">
        <w:rPr>
          <w:lang w:val="en-GB"/>
        </w:rPr>
        <w:t>rauma interaction</w:t>
      </w:r>
      <w:r w:rsidR="006D290E">
        <w:rPr>
          <w:lang w:val="en-GB"/>
        </w:rPr>
        <w:t xml:space="preserve"> – </w:t>
      </w:r>
      <w:r w:rsidRPr="00642AB8">
        <w:rPr>
          <w:lang w:val="en-GB"/>
        </w:rPr>
        <w:t>contrasts</w:t>
      </w:r>
      <w:r w:rsidR="006D290E">
        <w:rPr>
          <w:lang w:val="en-GB"/>
        </w:rPr>
        <w:t xml:space="preserve"> </w:t>
      </w:r>
      <w:r w:rsidRPr="00642AB8">
        <w:rPr>
          <w:lang w:val="en-GB"/>
        </w:rPr>
        <w:t xml:space="preserve">with the EUR results, in which PRS-SCZ was significantly positively associated with PS and showed a significant negative interaction with trauma. The direction of the PRS-SCZ main effect in the AFR sample was unexpectedly negative (though nonsignificant), which is difficult to interpret substantively and likely reflects the limited predictive power of current AFR-derived PRS. AFR GWAS discovery samples remain substantially smaller than their EUR counterparts, resulting in PRS that capture less of the heritable liability for schizophrenia. The higher base rate of PS in the AFR subsample (35.3% vs. 19.9% in </w:t>
      </w:r>
      <w:r w:rsidRPr="00642AB8">
        <w:rPr>
          <w:lang w:val="en-GB"/>
        </w:rPr>
        <w:lastRenderedPageBreak/>
        <w:t>EUR) may also reflect greater overall environmental adversity in this group (</w:t>
      </w:r>
      <w:r w:rsidRPr="006D290E">
        <w:rPr>
          <w:lang w:val="en-GB"/>
        </w:rPr>
        <w:t>mean</w:t>
      </w:r>
      <w:r w:rsidRPr="00642AB8">
        <w:rPr>
          <w:lang w:val="en-GB"/>
        </w:rPr>
        <w:t xml:space="preserve"> envSES = −1.02 vs. 0.62 in EUR), consistent with research documenting elevated trauma exposure and neighborhood-level disadvantage among African American youth. In such a context, the contribution of common genetic variation to PS classification may be further diminished, paralleling the pattern observed in the EUR high-trauma stratum.</w:t>
      </w:r>
    </w:p>
    <w:p w14:paraId="222AAA4B" w14:textId="77777777" w:rsidR="006D290E" w:rsidRPr="00642AB8" w:rsidRDefault="006D290E" w:rsidP="006D290E">
      <w:pPr>
        <w:spacing w:after="120" w:line="480" w:lineRule="auto"/>
        <w:ind w:firstLine="426"/>
        <w:jc w:val="both"/>
        <w:rPr>
          <w:lang w:val="en-GB"/>
        </w:rPr>
      </w:pPr>
    </w:p>
    <w:p w14:paraId="692A7808" w14:textId="77777777" w:rsidR="00F65B24" w:rsidRPr="00642AB8" w:rsidRDefault="00000000">
      <w:pPr>
        <w:spacing w:before="120" w:after="120"/>
        <w:jc w:val="center"/>
        <w:rPr>
          <w:lang w:val="en-GB"/>
        </w:rPr>
      </w:pPr>
      <w:r w:rsidRPr="00642AB8">
        <w:rPr>
          <w:noProof/>
          <w:lang w:val="en-GB"/>
        </w:rPr>
        <w:drawing>
          <wp:inline distT="0" distB="0" distL="0" distR="0" wp14:anchorId="4D10235E" wp14:editId="7F29B957">
            <wp:extent cx="5486400" cy="4114800"/>
            <wp:effectExtent l="0" t="0" r="0" b="0"/>
            <wp:docPr id="462141015" name="Immagine 46214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486400" cy="4114800"/>
                    </a:xfrm>
                    <a:prstGeom prst="rect">
                      <a:avLst/>
                    </a:prstGeom>
                  </pic:spPr>
                </pic:pic>
              </a:graphicData>
            </a:graphic>
          </wp:inline>
        </w:drawing>
      </w:r>
    </w:p>
    <w:p w14:paraId="1D4BB96E" w14:textId="17954451" w:rsidR="00F65B24" w:rsidRPr="006D290E" w:rsidRDefault="00000000" w:rsidP="006D290E">
      <w:pPr>
        <w:spacing w:after="240"/>
        <w:jc w:val="both"/>
        <w:rPr>
          <w:lang w:val="en-GB"/>
        </w:rPr>
      </w:pPr>
      <w:r w:rsidRPr="006D290E">
        <w:rPr>
          <w:b/>
          <w:bCs/>
          <w:sz w:val="22"/>
          <w:szCs w:val="22"/>
          <w:lang w:val="en-GB"/>
        </w:rPr>
        <w:t>Figure S2.</w:t>
      </w:r>
      <w:r w:rsidRPr="006D290E">
        <w:rPr>
          <w:sz w:val="22"/>
          <w:szCs w:val="22"/>
          <w:lang w:val="en-GB"/>
        </w:rPr>
        <w:t xml:space="preserve"> Relationship between </w:t>
      </w:r>
      <w:r w:rsidR="006D290E" w:rsidRPr="006D290E">
        <w:rPr>
          <w:sz w:val="22"/>
          <w:szCs w:val="22"/>
          <w:lang w:val="en-GB"/>
        </w:rPr>
        <w:t>schizophrenia polygenic risk score and log-odds of psychosis spectrum classification, by trauma exposure group</w:t>
      </w:r>
      <w:r w:rsidRPr="006D290E">
        <w:rPr>
          <w:sz w:val="22"/>
          <w:szCs w:val="22"/>
          <w:lang w:val="en-GB"/>
        </w:rPr>
        <w:t>, in the African-</w:t>
      </w:r>
      <w:r w:rsidR="006D290E" w:rsidRPr="006D290E">
        <w:rPr>
          <w:sz w:val="22"/>
          <w:szCs w:val="22"/>
          <w:lang w:val="en-GB"/>
        </w:rPr>
        <w:t>ancestry subsamp</w:t>
      </w:r>
      <w:r w:rsidRPr="006D290E">
        <w:rPr>
          <w:sz w:val="22"/>
          <w:szCs w:val="22"/>
          <w:lang w:val="en-GB"/>
        </w:rPr>
        <w:t>le (ages 11</w:t>
      </w:r>
      <w:r w:rsidR="006D290E">
        <w:rPr>
          <w:sz w:val="22"/>
          <w:szCs w:val="22"/>
          <w:lang w:val="en-GB"/>
        </w:rPr>
        <w:t>-</w:t>
      </w:r>
      <w:r w:rsidRPr="006D290E">
        <w:rPr>
          <w:sz w:val="22"/>
          <w:szCs w:val="22"/>
          <w:lang w:val="en-GB"/>
        </w:rPr>
        <w:t>21; N=2,396). Shaded regions represent 95% confidence intervals. Unlike the EUR sample (Figure S1), both trauma groups show similar, near-zero slopes for PRS-SCZ, and the confidence intervals are wide and largely overlapping, consistent with the nonsignificant interaction (p=</w:t>
      </w:r>
      <w:r w:rsidR="006D290E">
        <w:rPr>
          <w:sz w:val="22"/>
          <w:szCs w:val="22"/>
          <w:lang w:val="en-GB"/>
        </w:rPr>
        <w:t>0</w:t>
      </w:r>
      <w:r w:rsidRPr="006D290E">
        <w:rPr>
          <w:sz w:val="22"/>
          <w:szCs w:val="22"/>
          <w:lang w:val="en-GB"/>
        </w:rPr>
        <w:t>.889).</w:t>
      </w:r>
    </w:p>
    <w:sectPr w:rsidR="00F65B24" w:rsidRPr="006D290E">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47DF" w14:textId="77777777" w:rsidR="002974F1" w:rsidRDefault="002974F1" w:rsidP="00642AB8">
      <w:r>
        <w:separator/>
      </w:r>
    </w:p>
  </w:endnote>
  <w:endnote w:type="continuationSeparator" w:id="0">
    <w:p w14:paraId="0DABA630" w14:textId="77777777" w:rsidR="002974F1" w:rsidRDefault="002974F1" w:rsidP="0064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97A8" w14:textId="77777777" w:rsidR="002974F1" w:rsidRDefault="002974F1" w:rsidP="00642AB8">
      <w:r>
        <w:separator/>
      </w:r>
    </w:p>
  </w:footnote>
  <w:footnote w:type="continuationSeparator" w:id="0">
    <w:p w14:paraId="5ED30722" w14:textId="77777777" w:rsidR="002974F1" w:rsidRDefault="002974F1" w:rsidP="00642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9339A"/>
    <w:multiLevelType w:val="hybridMultilevel"/>
    <w:tmpl w:val="AB649816"/>
    <w:lvl w:ilvl="0" w:tplc="32A42396">
      <w:start w:val="1"/>
      <w:numFmt w:val="bullet"/>
      <w:lvlText w:val="●"/>
      <w:lvlJc w:val="left"/>
      <w:pPr>
        <w:ind w:left="720" w:hanging="360"/>
      </w:pPr>
    </w:lvl>
    <w:lvl w:ilvl="1" w:tplc="7534C560">
      <w:start w:val="1"/>
      <w:numFmt w:val="bullet"/>
      <w:lvlText w:val="○"/>
      <w:lvlJc w:val="left"/>
      <w:pPr>
        <w:ind w:left="1440" w:hanging="360"/>
      </w:pPr>
    </w:lvl>
    <w:lvl w:ilvl="2" w:tplc="70083BB4">
      <w:start w:val="1"/>
      <w:numFmt w:val="bullet"/>
      <w:lvlText w:val="■"/>
      <w:lvlJc w:val="left"/>
      <w:pPr>
        <w:ind w:left="2160" w:hanging="360"/>
      </w:pPr>
    </w:lvl>
    <w:lvl w:ilvl="3" w:tplc="F184FC32">
      <w:start w:val="1"/>
      <w:numFmt w:val="bullet"/>
      <w:lvlText w:val="●"/>
      <w:lvlJc w:val="left"/>
      <w:pPr>
        <w:ind w:left="2880" w:hanging="360"/>
      </w:pPr>
    </w:lvl>
    <w:lvl w:ilvl="4" w:tplc="D334F9FA">
      <w:start w:val="1"/>
      <w:numFmt w:val="bullet"/>
      <w:lvlText w:val="○"/>
      <w:lvlJc w:val="left"/>
      <w:pPr>
        <w:ind w:left="3600" w:hanging="360"/>
      </w:pPr>
    </w:lvl>
    <w:lvl w:ilvl="5" w:tplc="A816D6CC">
      <w:start w:val="1"/>
      <w:numFmt w:val="bullet"/>
      <w:lvlText w:val="■"/>
      <w:lvlJc w:val="left"/>
      <w:pPr>
        <w:ind w:left="4320" w:hanging="360"/>
      </w:pPr>
    </w:lvl>
    <w:lvl w:ilvl="6" w:tplc="D2908D1A">
      <w:start w:val="1"/>
      <w:numFmt w:val="bullet"/>
      <w:lvlText w:val="●"/>
      <w:lvlJc w:val="left"/>
      <w:pPr>
        <w:ind w:left="5040" w:hanging="360"/>
      </w:pPr>
    </w:lvl>
    <w:lvl w:ilvl="7" w:tplc="97620854">
      <w:start w:val="1"/>
      <w:numFmt w:val="bullet"/>
      <w:lvlText w:val="●"/>
      <w:lvlJc w:val="left"/>
      <w:pPr>
        <w:ind w:left="5760" w:hanging="360"/>
      </w:pPr>
    </w:lvl>
    <w:lvl w:ilvl="8" w:tplc="ED207438">
      <w:start w:val="1"/>
      <w:numFmt w:val="bullet"/>
      <w:lvlText w:val="●"/>
      <w:lvlJc w:val="left"/>
      <w:pPr>
        <w:ind w:left="6480" w:hanging="360"/>
      </w:pPr>
    </w:lvl>
  </w:abstractNum>
  <w:num w:numId="1" w16cid:durableId="1930844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24"/>
    <w:rsid w:val="002974F1"/>
    <w:rsid w:val="00642AB8"/>
    <w:rsid w:val="006D290E"/>
    <w:rsid w:val="00BC3434"/>
    <w:rsid w:val="00D51AB1"/>
    <w:rsid w:val="00F65B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D57E"/>
  <w15:docId w15:val="{74A53DC2-07FF-4480-B26D-D7C2C040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642AB8"/>
    <w:pPr>
      <w:tabs>
        <w:tab w:val="center" w:pos="4819"/>
        <w:tab w:val="right" w:pos="9638"/>
      </w:tabs>
    </w:pPr>
  </w:style>
  <w:style w:type="character" w:customStyle="1" w:styleId="IntestazioneCarattere">
    <w:name w:val="Intestazione Carattere"/>
    <w:basedOn w:val="Carpredefinitoparagrafo"/>
    <w:link w:val="Intestazione"/>
    <w:uiPriority w:val="99"/>
    <w:rsid w:val="00642AB8"/>
  </w:style>
  <w:style w:type="paragraph" w:styleId="Pidipagina">
    <w:name w:val="footer"/>
    <w:basedOn w:val="Normale"/>
    <w:link w:val="PidipaginaCarattere"/>
    <w:uiPriority w:val="99"/>
    <w:unhideWhenUsed/>
    <w:rsid w:val="00642AB8"/>
    <w:pPr>
      <w:tabs>
        <w:tab w:val="center" w:pos="4819"/>
        <w:tab w:val="right" w:pos="9638"/>
      </w:tabs>
    </w:pPr>
  </w:style>
  <w:style w:type="character" w:customStyle="1" w:styleId="PidipaginaCarattere">
    <w:name w:val="Piè di pagina Carattere"/>
    <w:basedOn w:val="Carpredefinitoparagrafo"/>
    <w:link w:val="Pidipagina"/>
    <w:uiPriority w:val="99"/>
    <w:rsid w:val="0064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959</Words>
  <Characters>5469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Mario Maj</cp:lastModifiedBy>
  <cp:revision>2</cp:revision>
  <cp:lastPrinted>2026-05-06T11:21:00Z</cp:lastPrinted>
  <dcterms:created xsi:type="dcterms:W3CDTF">2026-05-06T11:21:00Z</dcterms:created>
  <dcterms:modified xsi:type="dcterms:W3CDTF">2026-05-06T11:21:00Z</dcterms:modified>
</cp:coreProperties>
</file>